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6DA" w:rsidRDefault="00D606DA" w:rsidP="00D606DA">
      <w:pPr>
        <w:spacing w:line="276" w:lineRule="auto"/>
        <w:jc w:val="center"/>
        <w:rPr>
          <w:rFonts w:ascii="宋体" w:hAnsi="宋体"/>
          <w:sz w:val="36"/>
          <w:szCs w:val="36"/>
        </w:rPr>
      </w:pPr>
      <w:r w:rsidRPr="004B056D">
        <w:rPr>
          <w:rFonts w:ascii="宋体" w:hAnsi="宋体" w:hint="eastAsia"/>
          <w:sz w:val="36"/>
          <w:szCs w:val="36"/>
        </w:rPr>
        <w:t>××××</w:t>
      </w:r>
      <w:r>
        <w:rPr>
          <w:rFonts w:ascii="宋体" w:hAnsi="宋体"/>
          <w:sz w:val="36"/>
          <w:szCs w:val="36"/>
        </w:rPr>
        <w:t>人民检察院</w:t>
      </w:r>
    </w:p>
    <w:p w:rsidR="00D606DA" w:rsidRDefault="005675FA" w:rsidP="00D606DA">
      <w:pPr>
        <w:pStyle w:val="Default"/>
        <w:jc w:val="center"/>
        <w:rPr>
          <w:rFonts w:hAnsi="宋体"/>
          <w:b/>
          <w:sz w:val="44"/>
          <w:szCs w:val="44"/>
        </w:rPr>
      </w:pPr>
      <w:r>
        <w:rPr>
          <w:rFonts w:hAnsi="宋体" w:hint="eastAsia"/>
          <w:b/>
          <w:sz w:val="44"/>
          <w:szCs w:val="44"/>
        </w:rPr>
        <w:t>提办案件通知</w:t>
      </w:r>
      <w:bookmarkStart w:id="0" w:name="_GoBack"/>
      <w:bookmarkEnd w:id="0"/>
      <w:r w:rsidR="00D606DA">
        <w:rPr>
          <w:rFonts w:hAnsi="宋体" w:hint="eastAsia"/>
          <w:b/>
          <w:sz w:val="44"/>
          <w:szCs w:val="44"/>
        </w:rPr>
        <w:t>书</w:t>
      </w:r>
    </w:p>
    <w:p w:rsidR="00D606DA" w:rsidRDefault="00D606DA" w:rsidP="00D606DA">
      <w:pPr>
        <w:pStyle w:val="Default"/>
        <w:jc w:val="right"/>
        <w:rPr>
          <w:rFonts w:ascii="楷体_GB2312" w:eastAsia="楷体_GB2312"/>
          <w:sz w:val="28"/>
          <w:szCs w:val="28"/>
        </w:rPr>
      </w:pPr>
    </w:p>
    <w:p w:rsidR="00D606DA" w:rsidRDefault="00D606DA" w:rsidP="00D606DA">
      <w:pPr>
        <w:pStyle w:val="Default"/>
        <w:jc w:val="right"/>
        <w:rPr>
          <w:rFonts w:hAnsi="宋体"/>
          <w:b/>
          <w:sz w:val="44"/>
          <w:szCs w:val="44"/>
        </w:rPr>
      </w:pPr>
      <w:r w:rsidRPr="00C061B7">
        <w:rPr>
          <w:rFonts w:ascii="楷体_GB2312" w:eastAsia="楷体_GB2312" w:hint="eastAsia"/>
          <w:sz w:val="28"/>
          <w:szCs w:val="28"/>
        </w:rPr>
        <w:t>××</w:t>
      </w:r>
      <w:r w:rsidRPr="00C061B7">
        <w:rPr>
          <w:rFonts w:ascii="楷体_GB2312" w:eastAsia="楷体_GB2312" w:cs="楷体_GB2312" w:hint="eastAsia"/>
          <w:sz w:val="28"/>
          <w:szCs w:val="28"/>
        </w:rPr>
        <w:t>检</w:t>
      </w:r>
      <w:r w:rsidRPr="00C061B7">
        <w:rPr>
          <w:rFonts w:ascii="楷体_GB2312" w:eastAsia="楷体_GB2312" w:hint="eastAsia"/>
          <w:sz w:val="28"/>
          <w:szCs w:val="28"/>
        </w:rPr>
        <w:t>××</w:t>
      </w:r>
      <w:r>
        <w:rPr>
          <w:rFonts w:ascii="楷体_GB2312" w:eastAsia="楷体_GB2312" w:hint="eastAsia"/>
          <w:sz w:val="28"/>
          <w:szCs w:val="28"/>
        </w:rPr>
        <w:t>提案</w:t>
      </w:r>
      <w:r w:rsidRPr="00C061B7">
        <w:rPr>
          <w:rFonts w:ascii="楷体_GB2312" w:eastAsia="楷体_GB2312" w:hAnsi="仿宋_GB2312"/>
          <w:sz w:val="28"/>
          <w:szCs w:val="28"/>
        </w:rPr>
        <w:t>〔</w:t>
      </w:r>
      <w:r w:rsidRPr="00C061B7">
        <w:rPr>
          <w:rFonts w:ascii="Times New Roman" w:eastAsia="楷体_GB2312" w:hAnsi="Times New Roman" w:cs="Times New Roman"/>
          <w:sz w:val="28"/>
          <w:szCs w:val="28"/>
        </w:rPr>
        <w:t>20××</w:t>
      </w:r>
      <w:r w:rsidRPr="00C061B7">
        <w:rPr>
          <w:rFonts w:ascii="楷体_GB2312" w:eastAsia="楷体_GB2312" w:hAnsi="仿宋_GB2312"/>
          <w:sz w:val="28"/>
          <w:szCs w:val="28"/>
        </w:rPr>
        <w:t>〕</w:t>
      </w:r>
      <w:r w:rsidRPr="00C061B7">
        <w:rPr>
          <w:rFonts w:ascii="Times New Roman" w:eastAsia="楷体_GB2312" w:hAnsi="Times New Roman" w:cs="Times New Roman"/>
          <w:sz w:val="28"/>
          <w:szCs w:val="28"/>
        </w:rPr>
        <w:t>××</w:t>
      </w:r>
      <w:r w:rsidRPr="00C061B7">
        <w:rPr>
          <w:rFonts w:ascii="楷体_GB2312" w:eastAsia="楷体_GB2312" w:hAnsi="楷体_GB2312" w:cs="楷体_GB2312" w:hint="eastAsia"/>
          <w:sz w:val="28"/>
          <w:szCs w:val="28"/>
        </w:rPr>
        <w:t>号</w:t>
      </w:r>
    </w:p>
    <w:p w:rsidR="00D606DA" w:rsidRDefault="00D606DA" w:rsidP="00D606DA">
      <w:pPr>
        <w:pStyle w:val="Default"/>
        <w:jc w:val="center"/>
        <w:rPr>
          <w:rFonts w:hAnsi="宋体"/>
          <w:b/>
          <w:sz w:val="44"/>
          <w:szCs w:val="44"/>
        </w:rPr>
      </w:pPr>
    </w:p>
    <w:p w:rsidR="00D606DA" w:rsidRPr="00535F68" w:rsidRDefault="00D606DA" w:rsidP="00D606DA">
      <w:pPr>
        <w:pStyle w:val="Defaul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人民检察院（下级院）：</w:t>
      </w:r>
    </w:p>
    <w:p w:rsidR="00D606DA" w:rsidRDefault="00D606DA" w:rsidP="00D606DA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</w:t>
      </w:r>
      <w:r w:rsidRPr="000C19B0">
        <w:rPr>
          <w:rFonts w:ascii="仿宋_GB2312" w:eastAsia="仿宋_GB2312" w:hint="eastAsia"/>
          <w:sz w:val="32"/>
          <w:szCs w:val="32"/>
        </w:rPr>
        <w:t>《中华人民共和国刑事诉讼法》第十九条</w:t>
      </w:r>
      <w:r>
        <w:rPr>
          <w:rFonts w:ascii="仿宋_GB2312" w:eastAsia="仿宋_GB2312" w:hint="eastAsia"/>
          <w:sz w:val="32"/>
          <w:szCs w:val="32"/>
        </w:rPr>
        <w:t>和《人民检察院刑事诉讼规则》第十六条</w:t>
      </w:r>
      <w:r w:rsidRPr="000C19B0">
        <w:rPr>
          <w:rFonts w:ascii="仿宋_GB2312" w:eastAsia="仿宋_GB2312" w:hint="eastAsia"/>
          <w:sz w:val="32"/>
          <w:szCs w:val="32"/>
        </w:rPr>
        <w:t>的规定，</w:t>
      </w:r>
      <w:r>
        <w:rPr>
          <w:rFonts w:ascii="仿宋_GB2312" w:eastAsia="仿宋_GB2312" w:hint="eastAsia"/>
          <w:sz w:val="32"/>
          <w:szCs w:val="32"/>
        </w:rPr>
        <w:t>经研究决定，</w:t>
      </w:r>
      <w:r w:rsidRPr="00D606DA">
        <w:rPr>
          <w:rFonts w:ascii="仿宋_GB2312" w:eastAsia="仿宋_GB2312" w:cs="仿宋_GB2312" w:hint="eastAsia"/>
          <w:sz w:val="32"/>
          <w:szCs w:val="32"/>
        </w:rPr>
        <w:t>将你院办理的</w:t>
      </w:r>
    </w:p>
    <w:p w:rsidR="00D606DA" w:rsidRDefault="00D606DA" w:rsidP="00D606DA">
      <w:pPr>
        <w:pStyle w:val="Defaul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int="eastAsia"/>
          <w:sz w:val="32"/>
          <w:szCs w:val="32"/>
        </w:rPr>
        <w:t>案件，提由本院办理。接此通知后，于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256BBD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日以内将</w:t>
      </w:r>
      <w:r w:rsidRPr="00D606DA">
        <w:rPr>
          <w:rFonts w:ascii="仿宋_GB2312" w:eastAsia="仿宋_GB2312" w:cs="仿宋_GB2312" w:hint="eastAsia"/>
          <w:sz w:val="32"/>
          <w:szCs w:val="32"/>
        </w:rPr>
        <w:t>有关案件材料报送本院。</w:t>
      </w:r>
    </w:p>
    <w:p w:rsidR="00D606DA" w:rsidRDefault="00D606DA" w:rsidP="00D606DA">
      <w:pPr>
        <w:pStyle w:val="Default"/>
        <w:rPr>
          <w:rFonts w:ascii="仿宋_GB2312" w:eastAsia="仿宋_GB2312"/>
          <w:sz w:val="32"/>
          <w:szCs w:val="32"/>
        </w:rPr>
      </w:pPr>
    </w:p>
    <w:p w:rsidR="00D606DA" w:rsidRDefault="00D606DA" w:rsidP="00D606DA">
      <w:pPr>
        <w:pStyle w:val="Default"/>
        <w:rPr>
          <w:rFonts w:ascii="仿宋_GB2312" w:eastAsia="仿宋_GB2312"/>
          <w:sz w:val="32"/>
          <w:szCs w:val="32"/>
        </w:rPr>
      </w:pPr>
    </w:p>
    <w:p w:rsidR="00D606DA" w:rsidRDefault="00D606DA" w:rsidP="00D606DA">
      <w:pPr>
        <w:pStyle w:val="Default"/>
        <w:rPr>
          <w:rFonts w:ascii="仿宋_GB2312" w:eastAsia="仿宋_GB2312"/>
          <w:sz w:val="32"/>
          <w:szCs w:val="32"/>
        </w:rPr>
      </w:pPr>
    </w:p>
    <w:p w:rsidR="00D606DA" w:rsidRPr="000C19B0" w:rsidRDefault="00D606DA" w:rsidP="00D606DA">
      <w:pPr>
        <w:pStyle w:val="Default"/>
        <w:rPr>
          <w:rFonts w:ascii="仿宋_GB2312" w:eastAsia="仿宋_GB2312"/>
          <w:sz w:val="32"/>
          <w:szCs w:val="32"/>
        </w:rPr>
      </w:pPr>
    </w:p>
    <w:p w:rsidR="00D606DA" w:rsidRDefault="00D606DA" w:rsidP="00D606DA">
      <w:pPr>
        <w:pStyle w:val="Default"/>
        <w:ind w:leftChars="1400" w:left="2940" w:firstLineChars="200" w:firstLine="640"/>
        <w:jc w:val="center"/>
        <w:rPr>
          <w:rFonts w:ascii="仿宋_GB2312" w:eastAsia="仿宋_GB2312" w:hAnsi="Times New Roman"/>
          <w:sz w:val="32"/>
          <w:szCs w:val="32"/>
        </w:rPr>
      </w:pPr>
      <w:r w:rsidRPr="00E902C5">
        <w:rPr>
          <w:rFonts w:ascii="Times New Roman" w:eastAsia="仿宋_GB2312" w:hAnsi="Times New Roman" w:cs="Times New Roman"/>
          <w:sz w:val="32"/>
          <w:szCs w:val="32"/>
        </w:rPr>
        <w:t>20××</w:t>
      </w:r>
      <w:r w:rsidRPr="005432AF">
        <w:rPr>
          <w:rFonts w:ascii="仿宋_GB2312" w:eastAsia="仿宋_GB2312" w:hAnsi="Times New Roman" w:hint="eastAsia"/>
          <w:sz w:val="32"/>
          <w:szCs w:val="32"/>
        </w:rPr>
        <w:t>年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月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日</w:t>
      </w:r>
    </w:p>
    <w:p w:rsidR="00D606DA" w:rsidRDefault="00D606DA" w:rsidP="00D606DA">
      <w:pPr>
        <w:pStyle w:val="Default"/>
        <w:ind w:leftChars="1400" w:left="2940" w:firstLineChars="200" w:firstLine="640"/>
        <w:jc w:val="center"/>
        <w:rPr>
          <w:rFonts w:hAnsi="宋体"/>
          <w:b/>
          <w:sz w:val="44"/>
          <w:szCs w:val="44"/>
        </w:rPr>
      </w:pPr>
      <w:r w:rsidRPr="005432AF">
        <w:rPr>
          <w:rFonts w:ascii="仿宋_GB2312" w:eastAsia="仿宋_GB2312" w:hAnsi="Times New Roman" w:hint="eastAsia"/>
          <w:sz w:val="32"/>
          <w:szCs w:val="32"/>
        </w:rPr>
        <w:t>（</w:t>
      </w:r>
      <w:r>
        <w:rPr>
          <w:rFonts w:ascii="仿宋_GB2312" w:eastAsia="仿宋_GB2312" w:hAnsi="Times New Roman" w:hint="eastAsia"/>
          <w:sz w:val="32"/>
          <w:szCs w:val="32"/>
        </w:rPr>
        <w:t>上级</w:t>
      </w:r>
      <w:r w:rsidRPr="005432AF">
        <w:rPr>
          <w:rFonts w:ascii="仿宋_GB2312" w:eastAsia="仿宋_GB2312" w:hAnsi="Times New Roman" w:hint="eastAsia"/>
          <w:sz w:val="32"/>
          <w:szCs w:val="32"/>
        </w:rPr>
        <w:t>院印）</w:t>
      </w:r>
    </w:p>
    <w:p w:rsidR="00D606DA" w:rsidRDefault="00D606DA" w:rsidP="00D606DA">
      <w:pPr>
        <w:pStyle w:val="Default"/>
        <w:jc w:val="center"/>
        <w:rPr>
          <w:rFonts w:hAnsi="宋体"/>
          <w:b/>
          <w:sz w:val="44"/>
          <w:szCs w:val="44"/>
        </w:rPr>
      </w:pPr>
    </w:p>
    <w:p w:rsidR="00D606DA" w:rsidRDefault="00D606DA" w:rsidP="00D606DA">
      <w:pPr>
        <w:pStyle w:val="Default"/>
        <w:jc w:val="center"/>
        <w:rPr>
          <w:rFonts w:hAnsi="宋体"/>
          <w:b/>
          <w:sz w:val="44"/>
          <w:szCs w:val="44"/>
        </w:rPr>
      </w:pPr>
    </w:p>
    <w:p w:rsidR="00D606DA" w:rsidRDefault="00D606DA" w:rsidP="00D606DA">
      <w:pPr>
        <w:pStyle w:val="Default"/>
        <w:jc w:val="center"/>
        <w:rPr>
          <w:rFonts w:hAnsi="宋体"/>
          <w:b/>
          <w:sz w:val="44"/>
          <w:szCs w:val="44"/>
        </w:rPr>
      </w:pPr>
    </w:p>
    <w:p w:rsidR="00D606DA" w:rsidRPr="00D606DA" w:rsidRDefault="00D606DA" w:rsidP="00D606DA">
      <w:pPr>
        <w:pStyle w:val="Default"/>
        <w:jc w:val="center"/>
        <w:rPr>
          <w:rFonts w:hAnsi="宋体"/>
          <w:b/>
          <w:sz w:val="44"/>
          <w:szCs w:val="44"/>
        </w:rPr>
      </w:pPr>
    </w:p>
    <w:p w:rsidR="004B056D" w:rsidRPr="00A4111E" w:rsidRDefault="004B056D" w:rsidP="00D606DA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256BBD" w:rsidRDefault="00256BBD" w:rsidP="00256BBD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  <w:r w:rsidRPr="00256BBD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一、本文书为新增文书，依据《中华人民共和国刑事诉讼法》第十九条和《人民检察院刑事诉讼规则》第十六条的规定制作。为上级人民检察院在必要的时候，直接立案侦查下级人民检察院管辖的案件时使用。</w:t>
      </w:r>
    </w:p>
    <w:p w:rsidR="004B056D" w:rsidRDefault="00256BBD" w:rsidP="00256BBD">
      <w:pPr>
        <w:autoSpaceDE w:val="0"/>
        <w:autoSpaceDN w:val="0"/>
        <w:adjustRightInd w:val="0"/>
        <w:ind w:firstLineChars="200" w:firstLine="640"/>
        <w:jc w:val="left"/>
      </w:pPr>
      <w:r w:rsidRPr="00256BBD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二、本文书一式二份，一份附卷，一份交下级人民检察院。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9DE" w:rsidRDefault="008C69DE" w:rsidP="0040527A">
      <w:r>
        <w:separator/>
      </w:r>
    </w:p>
  </w:endnote>
  <w:endnote w:type="continuationSeparator" w:id="0">
    <w:p w:rsidR="008C69DE" w:rsidRDefault="008C69DE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9DE" w:rsidRDefault="008C69DE" w:rsidP="0040527A">
      <w:r>
        <w:separator/>
      </w:r>
    </w:p>
  </w:footnote>
  <w:footnote w:type="continuationSeparator" w:id="0">
    <w:p w:rsidR="008C69DE" w:rsidRDefault="008C69DE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21364"/>
    <w:rsid w:val="0009401E"/>
    <w:rsid w:val="000A4A4E"/>
    <w:rsid w:val="000C19B0"/>
    <w:rsid w:val="00126C3B"/>
    <w:rsid w:val="00182623"/>
    <w:rsid w:val="00183CC1"/>
    <w:rsid w:val="001A3CA5"/>
    <w:rsid w:val="001A5203"/>
    <w:rsid w:val="00256BBD"/>
    <w:rsid w:val="003D5786"/>
    <w:rsid w:val="003F7DA8"/>
    <w:rsid w:val="00402E88"/>
    <w:rsid w:val="0040527A"/>
    <w:rsid w:val="0041473A"/>
    <w:rsid w:val="004B056D"/>
    <w:rsid w:val="005307C4"/>
    <w:rsid w:val="00535F68"/>
    <w:rsid w:val="005432AF"/>
    <w:rsid w:val="005675FA"/>
    <w:rsid w:val="0068721A"/>
    <w:rsid w:val="006C4B10"/>
    <w:rsid w:val="007305FE"/>
    <w:rsid w:val="007375E0"/>
    <w:rsid w:val="00753F5C"/>
    <w:rsid w:val="007B2138"/>
    <w:rsid w:val="00820B0E"/>
    <w:rsid w:val="008630E7"/>
    <w:rsid w:val="00893D49"/>
    <w:rsid w:val="008C69DE"/>
    <w:rsid w:val="0092512A"/>
    <w:rsid w:val="0099158A"/>
    <w:rsid w:val="00A4111E"/>
    <w:rsid w:val="00B929E2"/>
    <w:rsid w:val="00BB039C"/>
    <w:rsid w:val="00BD20A2"/>
    <w:rsid w:val="00BD58A2"/>
    <w:rsid w:val="00C061B7"/>
    <w:rsid w:val="00C07069"/>
    <w:rsid w:val="00C17FE7"/>
    <w:rsid w:val="00C9090A"/>
    <w:rsid w:val="00D46B9F"/>
    <w:rsid w:val="00D606DA"/>
    <w:rsid w:val="00E22665"/>
    <w:rsid w:val="00E50A93"/>
    <w:rsid w:val="00E902C5"/>
    <w:rsid w:val="00EC0B3B"/>
    <w:rsid w:val="00F95E46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6</cp:revision>
  <dcterms:created xsi:type="dcterms:W3CDTF">2020-02-22T09:08:00Z</dcterms:created>
  <dcterms:modified xsi:type="dcterms:W3CDTF">2020-02-24T09:43:00Z</dcterms:modified>
</cp:coreProperties>
</file>