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CD00D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CD00DB">
              <w:rPr>
                <w:rFonts w:ascii="宋体" w:hAnsi="宋体" w:hint="eastAsia"/>
                <w:b/>
                <w:sz w:val="44"/>
                <w:szCs w:val="44"/>
              </w:rPr>
              <w:t>移送案件通知</w:t>
            </w:r>
            <w:r w:rsidR="004B056D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CD00DB">
              <w:rPr>
                <w:rFonts w:ascii="楷体_GB2312" w:eastAsia="楷体_GB2312" w:cs="楷体_GB2312" w:hint="eastAsia"/>
                <w:sz w:val="28"/>
                <w:szCs w:val="28"/>
              </w:rPr>
              <w:t>移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CD00DB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涉案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人基本情况（姓名、性别、出生日期、公民身份号码、工作单位、住址、是否人大代表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、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政协委员）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</w:p>
          <w:p w:rsidR="004B056D" w:rsidRDefault="004B056D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CD00DB" w:rsidRPr="004B056D" w:rsidRDefault="00CD00DB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056D" w:rsidRDefault="00CD00DB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报案（举报、控告、自首）人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</w:t>
            </w:r>
          </w:p>
          <w:p w:rsidR="00CD00DB" w:rsidRPr="004B056D" w:rsidRDefault="00CD00DB" w:rsidP="00CD00DB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送达单位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CD00DB" w:rsidRPr="004B056D" w:rsidRDefault="00CD00DB" w:rsidP="00CD00DB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移送时间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CD00DB" w:rsidRPr="004B056D" w:rsidRDefault="00CD00DB" w:rsidP="00CD00DB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移送原因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CD00DB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CD00D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CD00DB">
              <w:rPr>
                <w:rFonts w:ascii="宋体" w:hAnsi="宋体" w:hint="eastAsia"/>
                <w:b/>
                <w:sz w:val="44"/>
                <w:szCs w:val="44"/>
              </w:rPr>
              <w:t>移送案件通知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CD00DB">
              <w:rPr>
                <w:rFonts w:ascii="楷体_GB2312" w:eastAsia="楷体_GB2312" w:cs="楷体_GB2312" w:hint="eastAsia"/>
                <w:sz w:val="28"/>
                <w:szCs w:val="28"/>
              </w:rPr>
              <w:t>移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5432AF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432AF" w:rsidRPr="00535F68" w:rsidRDefault="00E902C5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CD00DB" w:rsidRDefault="00E902C5" w:rsidP="00E902C5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CD00D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432AF"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CD00D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432AF"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CD00D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432AF" w:rsidRPr="005432AF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="00CD00DB" w:rsidRPr="00CD00DB">
              <w:rPr>
                <w:rFonts w:ascii="仿宋_GB2312" w:eastAsia="仿宋_GB2312" w:hint="eastAsia"/>
                <w:sz w:val="32"/>
                <w:szCs w:val="32"/>
              </w:rPr>
              <w:t>你报案（举报、控告、自首）的</w:t>
            </w:r>
          </w:p>
          <w:p w:rsidR="00CD00DB" w:rsidRDefault="00E902C5" w:rsidP="00CD00DB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="00CD00DB" w:rsidRPr="00CD00DB">
              <w:rPr>
                <w:rFonts w:ascii="仿宋_GB2312" w:eastAsia="仿宋_GB2312" w:hint="eastAsia"/>
                <w:sz w:val="32"/>
                <w:szCs w:val="32"/>
              </w:rPr>
              <w:t>一案，我院经审查认为应由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="00CD00DB" w:rsidRPr="00CD00DB">
              <w:rPr>
                <w:rFonts w:ascii="仿宋_GB2312" w:eastAsia="仿宋_GB2312" w:hint="eastAsia"/>
                <w:sz w:val="32"/>
                <w:szCs w:val="32"/>
              </w:rPr>
              <w:t>管辖。根据《中华人民共和国刑事诉讼法》第一百一十条的规定，已将本案及有关材料移送</w:t>
            </w:r>
            <w:r w:rsidR="00CD00D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</w:t>
            </w:r>
            <w:r w:rsidR="00CD00DB" w:rsidRPr="00CD00DB">
              <w:rPr>
                <w:rFonts w:ascii="仿宋_GB2312" w:eastAsia="仿宋_GB2312" w:hint="eastAsia"/>
                <w:sz w:val="32"/>
                <w:szCs w:val="32"/>
              </w:rPr>
              <w:t>处理。</w:t>
            </w:r>
          </w:p>
          <w:p w:rsidR="00CD00DB" w:rsidRPr="00CD00DB" w:rsidRDefault="00CD00DB" w:rsidP="00CD00D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CD00DB" w:rsidP="00CD00DB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CD00DB">
              <w:rPr>
                <w:rFonts w:ascii="仿宋_GB2312" w:eastAsia="仿宋_GB2312" w:hint="eastAsia"/>
                <w:sz w:val="32"/>
                <w:szCs w:val="32"/>
              </w:rPr>
              <w:t>特此通知</w:t>
            </w:r>
          </w:p>
          <w:p w:rsidR="00CD00DB" w:rsidRDefault="00CD00DB" w:rsidP="00CD00DB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CD00DB" w:rsidRDefault="00CD00DB" w:rsidP="00CD00D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CD00DB" w:rsidRPr="00CD00DB">
        <w:rPr>
          <w:rFonts w:ascii="楷体_GB2312" w:eastAsia="楷体_GB2312" w:hAnsi="仿宋" w:hint="eastAsia"/>
          <w:szCs w:val="21"/>
        </w:rPr>
        <w:t>送达报案（举报、控告、自首）人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CD00DB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CD00DB">
              <w:rPr>
                <w:rFonts w:ascii="宋体" w:hAnsi="宋体" w:hint="eastAsia"/>
                <w:b/>
                <w:sz w:val="44"/>
                <w:szCs w:val="44"/>
              </w:rPr>
              <w:t>移送案件通知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CD00DB">
              <w:rPr>
                <w:rFonts w:ascii="楷体_GB2312" w:eastAsia="楷体_GB2312" w:cs="楷体_GB2312" w:hint="eastAsia"/>
                <w:sz w:val="28"/>
                <w:szCs w:val="28"/>
              </w:rPr>
              <w:t>移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CD00DB" w:rsidRDefault="00CD00DB" w:rsidP="00CD00DB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一</w:t>
            </w:r>
            <w:r w:rsidRPr="00CD00DB">
              <w:rPr>
                <w:rFonts w:ascii="仿宋_GB2312" w:eastAsia="仿宋_GB2312" w:hint="eastAsia"/>
                <w:sz w:val="32"/>
                <w:szCs w:val="32"/>
              </w:rPr>
              <w:t>案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Pr="00CD00DB">
              <w:rPr>
                <w:rFonts w:ascii="仿宋_GB2312" w:eastAsia="仿宋_GB2312" w:hint="eastAsia"/>
                <w:sz w:val="32"/>
                <w:szCs w:val="32"/>
              </w:rPr>
              <w:t>我院经审查认为</w:t>
            </w:r>
            <w:r>
              <w:rPr>
                <w:rFonts w:ascii="仿宋_GB2312" w:eastAsia="仿宋_GB2312" w:hint="eastAsia"/>
                <w:sz w:val="32"/>
                <w:szCs w:val="32"/>
              </w:rPr>
              <w:t>属于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</w:t>
            </w:r>
            <w:r w:rsidRPr="00CD00DB">
              <w:rPr>
                <w:rFonts w:ascii="仿宋_GB2312" w:eastAsia="仿宋_GB2312" w:hint="eastAsia"/>
                <w:sz w:val="32"/>
                <w:szCs w:val="32"/>
              </w:rPr>
              <w:t>管</w:t>
            </w:r>
            <w:r>
              <w:rPr>
                <w:rFonts w:ascii="仿宋_GB2312" w:eastAsia="仿宋_GB2312" w:hint="eastAsia"/>
                <w:sz w:val="32"/>
                <w:szCs w:val="32"/>
              </w:rPr>
              <w:t>辖。根据《中华人民共和国刑事诉讼法》第一百一十条的规定，现</w:t>
            </w:r>
            <w:r w:rsidRPr="00CD00DB">
              <w:rPr>
                <w:rFonts w:ascii="仿宋_GB2312" w:eastAsia="仿宋_GB2312" w:hint="eastAsia"/>
                <w:sz w:val="32"/>
                <w:szCs w:val="32"/>
              </w:rPr>
              <w:t>将本案及有关材料移送</w:t>
            </w:r>
            <w:r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管辖</w:t>
            </w:r>
            <w:r w:rsidRPr="00CD00DB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CD00DB" w:rsidRPr="00CD00DB" w:rsidRDefault="00CD00DB" w:rsidP="00CD00D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CD00DB" w:rsidP="00CD00D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535F68" w:rsidRPr="00CD00DB" w:rsidRDefault="00CD00DB" w:rsidP="00CD00DB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CD00DB" w:rsidRPr="00CD00DB">
        <w:rPr>
          <w:rFonts w:ascii="楷体_GB2312" w:eastAsia="楷体_GB2312" w:hAnsi="仿宋" w:hint="eastAsia"/>
          <w:szCs w:val="21"/>
        </w:rPr>
        <w:t>送达管辖机关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Default="00CD00D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CD00DB">
              <w:rPr>
                <w:rFonts w:ascii="宋体" w:hAnsi="宋体" w:hint="eastAsia"/>
                <w:b/>
                <w:sz w:val="44"/>
                <w:szCs w:val="44"/>
              </w:rPr>
              <w:t>移送案件通知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（回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执）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747539" wp14:editId="68C1C819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vF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qRICyN6+PTtx8fPP7/fw/rw9Qsahi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DN/G8U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Default="00CD00DB" w:rsidP="00CD00DB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移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535F68">
            <w:pPr>
              <w:spacing w:line="6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35F68" w:rsidRPr="00535F68" w:rsidRDefault="00535F68" w:rsidP="00535F6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535F68" w:rsidRPr="00535F68" w:rsidRDefault="00535F68" w:rsidP="00CD00D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CD00DB">
              <w:rPr>
                <w:rFonts w:ascii="仿宋_GB2312" w:eastAsia="仿宋_GB2312" w:hint="eastAsia"/>
                <w:sz w:val="32"/>
                <w:szCs w:val="32"/>
              </w:rPr>
              <w:t>你院</w:t>
            </w:r>
            <w:r w:rsidR="00CD00DB" w:rsidRPr="00CD00DB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 w:rsidRPr="00CD00D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CD00DB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Pr="00CD00D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CD00D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CD00D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CD00DB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Pr="00CD00D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CD00D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CD00D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CD00DB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="00CD00DB" w:rsidRPr="00CD00DB">
              <w:rPr>
                <w:rFonts w:ascii="仿宋_GB2312" w:eastAsia="仿宋_GB2312" w:hint="eastAsia"/>
                <w:sz w:val="32"/>
                <w:szCs w:val="32"/>
              </w:rPr>
              <w:t>以</w:t>
            </w:r>
            <w:r w:rsidRPr="00CD00D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Pr="00CD00DB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="00CD00DB" w:rsidRPr="00CD00DB">
              <w:rPr>
                <w:rFonts w:ascii="仿宋_GB2312" w:eastAsia="仿宋_GB2312" w:hint="eastAsia"/>
                <w:sz w:val="32"/>
                <w:szCs w:val="32"/>
              </w:rPr>
              <w:t>移送案件通知书移送的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CD00D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CD00DB">
              <w:rPr>
                <w:rFonts w:ascii="仿宋_GB2312" w:eastAsia="仿宋_GB2312" w:hAnsi="Times New Roman" w:hint="eastAsia"/>
                <w:sz w:val="32"/>
                <w:szCs w:val="32"/>
              </w:rPr>
              <w:t>一案收悉。</w:t>
            </w:r>
          </w:p>
          <w:p w:rsidR="00535F68" w:rsidRPr="00535F68" w:rsidRDefault="00535F68" w:rsidP="00535F6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CD00DB" w:rsidP="00535F68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此复</w:t>
            </w:r>
          </w:p>
          <w:p w:rsidR="00CD00DB" w:rsidRDefault="00CD00DB" w:rsidP="00535F68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CD00DB" w:rsidRPr="00535F68" w:rsidRDefault="00CD00DB" w:rsidP="00535F6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CD00DB">
              <w:rPr>
                <w:rFonts w:ascii="仿宋_GB2312" w:eastAsia="仿宋_GB2312" w:hAnsi="Times New Roman" w:hint="eastAsia"/>
                <w:sz w:val="32"/>
                <w:szCs w:val="32"/>
              </w:rPr>
              <w:t>单位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Pr="00CD00DB" w:rsidRDefault="00535F68" w:rsidP="00535F68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第四联　</w:t>
      </w:r>
      <w:r w:rsidR="00CD00DB" w:rsidRPr="00CD00DB">
        <w:rPr>
          <w:rFonts w:ascii="楷体_GB2312" w:eastAsia="楷体_GB2312" w:hAnsi="仿宋" w:hint="eastAsia"/>
          <w:szCs w:val="21"/>
        </w:rPr>
        <w:t>退回后附卷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CD00DB" w:rsidRDefault="00CD00DB" w:rsidP="00CD00DB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CD00DB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一百零九条、第一百一十条第三款、第四款和《人民检察院刑事诉讼规则》第一百六十一条的规定制作。为人民检察院经过审查，认为案件或者线索不属于本院管辖，或者由其他检察院管辖更为适宜，决定将案件或者线索移送其他机关或者其他检察院处理时使用。</w:t>
      </w:r>
    </w:p>
    <w:p w:rsidR="00CD00DB" w:rsidRDefault="00CD00DB" w:rsidP="00CD00DB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CD00DB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二、单位报案、控告、举报和自首的，送达单位。</w:t>
      </w:r>
    </w:p>
    <w:p w:rsidR="004B056D" w:rsidRDefault="00CD00DB" w:rsidP="00CD00DB">
      <w:pPr>
        <w:autoSpaceDE w:val="0"/>
        <w:autoSpaceDN w:val="0"/>
        <w:adjustRightInd w:val="0"/>
        <w:ind w:firstLineChars="200" w:firstLine="640"/>
        <w:jc w:val="left"/>
      </w:pPr>
      <w:r w:rsidRPr="00CD00DB">
        <w:rPr>
          <w:rFonts w:ascii="仿宋_GB2312" w:eastAsia="仿宋_GB2312" w:cs="仿宋_GB2312" w:hint="eastAsia"/>
          <w:sz w:val="32"/>
          <w:szCs w:val="32"/>
        </w:rPr>
        <w:t>三、本文书共四联，第一</w:t>
      </w:r>
      <w:proofErr w:type="gramStart"/>
      <w:r w:rsidRPr="00CD00DB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CD00DB">
        <w:rPr>
          <w:rFonts w:ascii="仿宋_GB2312" w:eastAsia="仿宋_GB2312" w:cs="仿宋_GB2312" w:hint="eastAsia"/>
          <w:sz w:val="32"/>
          <w:szCs w:val="32"/>
        </w:rPr>
        <w:t>保存备查，第二联送达报案、举报、控告和自首人，第三联送达管辖机关，第四联退回后附卷。对不属于报案、举报、控告、自首的，毋须填写第二联。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177" w:rsidRDefault="002A5177" w:rsidP="008C3ED3">
      <w:r>
        <w:separator/>
      </w:r>
    </w:p>
  </w:endnote>
  <w:endnote w:type="continuationSeparator" w:id="0">
    <w:p w:rsidR="002A5177" w:rsidRDefault="002A5177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177" w:rsidRDefault="002A5177" w:rsidP="008C3ED3">
      <w:r>
        <w:separator/>
      </w:r>
    </w:p>
  </w:footnote>
  <w:footnote w:type="continuationSeparator" w:id="0">
    <w:p w:rsidR="002A5177" w:rsidRDefault="002A5177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9401E"/>
    <w:rsid w:val="00192C2D"/>
    <w:rsid w:val="002A5177"/>
    <w:rsid w:val="004B056D"/>
    <w:rsid w:val="00535F68"/>
    <w:rsid w:val="005432AF"/>
    <w:rsid w:val="007E5CD7"/>
    <w:rsid w:val="00872897"/>
    <w:rsid w:val="008B4FDB"/>
    <w:rsid w:val="008C3ED3"/>
    <w:rsid w:val="0090344C"/>
    <w:rsid w:val="00974129"/>
    <w:rsid w:val="00A4111E"/>
    <w:rsid w:val="00BD20A2"/>
    <w:rsid w:val="00C12D44"/>
    <w:rsid w:val="00C860A5"/>
    <w:rsid w:val="00CD00DB"/>
    <w:rsid w:val="00D0386A"/>
    <w:rsid w:val="00D20A7F"/>
    <w:rsid w:val="00E902C5"/>
    <w:rsid w:val="00F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2020-02-24T09:55:00Z</dcterms:created>
  <dcterms:modified xsi:type="dcterms:W3CDTF">2020-02-24T10:12:00Z</dcterms:modified>
</cp:coreProperties>
</file>