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97CFA" w:rsidP="00597CFA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597CFA" w:rsidRDefault="00DB707C" w:rsidP="00597CFA">
      <w:pPr>
        <w:jc w:val="center"/>
        <w:rPr>
          <w:b/>
          <w:color w:val="000000"/>
          <w:spacing w:val="22"/>
          <w:sz w:val="44"/>
        </w:rPr>
      </w:pPr>
      <w:r w:rsidRPr="00DB707C">
        <w:rPr>
          <w:rFonts w:ascii="宋体" w:hAnsi="宋体" w:hint="eastAsia"/>
          <w:b/>
          <w:sz w:val="44"/>
          <w:szCs w:val="44"/>
        </w:rPr>
        <w:t>处理查封/扣押财物、文件清单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</w:p>
    <w:p w:rsidR="00597CFA" w:rsidRPr="00597CFA" w:rsidRDefault="00597CFA" w:rsidP="00C564F8">
      <w:pPr>
        <w:jc w:val="right"/>
        <w:rPr>
          <w:rFonts w:ascii="仿宋_GB2312" w:eastAsia="仿宋_GB2312" w:hAnsi="宋体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867"/>
        <w:gridCol w:w="1134"/>
        <w:gridCol w:w="1417"/>
        <w:gridCol w:w="1276"/>
        <w:gridCol w:w="1307"/>
      </w:tblGrid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2867" w:type="dxa"/>
            <w:vAlign w:val="center"/>
          </w:tcPr>
          <w:p w:rsidR="00B33E47" w:rsidRPr="00DB792B" w:rsidRDefault="00B33E47" w:rsidP="00B33E4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物品、文件名称</w:t>
            </w:r>
          </w:p>
        </w:tc>
        <w:tc>
          <w:tcPr>
            <w:tcW w:w="1134" w:type="dxa"/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1417" w:type="dxa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　位</w:t>
            </w:r>
          </w:p>
        </w:tc>
        <w:tc>
          <w:tcPr>
            <w:tcW w:w="1276" w:type="dxa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　征</w:t>
            </w:r>
          </w:p>
        </w:tc>
        <w:tc>
          <w:tcPr>
            <w:tcW w:w="1307" w:type="dxa"/>
            <w:vAlign w:val="center"/>
          </w:tcPr>
          <w:p w:rsidR="00B33E47" w:rsidRPr="00DB792B" w:rsidRDefault="00B33E47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备 注</w:t>
            </w:r>
          </w:p>
        </w:tc>
      </w:tr>
      <w:tr w:rsidR="00DB707C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DB707C" w:rsidRPr="00DB792B" w:rsidRDefault="00DB707C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33E47" w:rsidRPr="00DB792B" w:rsidTr="00EF5D80">
        <w:trPr>
          <w:trHeight w:val="547"/>
          <w:jc w:val="center"/>
        </w:trPr>
        <w:tc>
          <w:tcPr>
            <w:tcW w:w="795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6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07" w:type="dxa"/>
            <w:vAlign w:val="center"/>
          </w:tcPr>
          <w:p w:rsidR="00B33E47" w:rsidRPr="00DB792B" w:rsidRDefault="00B33E47" w:rsidP="001E1C3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EF5D80">
        <w:trPr>
          <w:trHeight w:val="2047"/>
          <w:jc w:val="center"/>
        </w:trPr>
        <w:tc>
          <w:tcPr>
            <w:tcW w:w="8796" w:type="dxa"/>
            <w:gridSpan w:val="6"/>
            <w:vAlign w:val="center"/>
          </w:tcPr>
          <w:p w:rsidR="00B33E47" w:rsidRPr="00B33E47" w:rsidRDefault="008233FC" w:rsidP="00B33E47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批准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  <w:r w:rsidR="00DB707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接收单位：</w:t>
            </w:r>
          </w:p>
          <w:p w:rsidR="00B33E47" w:rsidRDefault="008233FC" w:rsidP="00B33E47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承办</w:t>
            </w:r>
            <w:r w:rsidR="00B33E47" w:rsidRP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人：</w:t>
            </w:r>
            <w:r w:rsidR="00DB707C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接收人：</w:t>
            </w:r>
          </w:p>
          <w:p w:rsidR="00EE273B" w:rsidRDefault="00DB707C" w:rsidP="00DB707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597CFA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B33E4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="00597CFA" w:rsidRPr="00597CF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:rsidR="00597CFA" w:rsidRDefault="00DB707C" w:rsidP="00DB707C">
            <w:pPr>
              <w:spacing w:line="560" w:lineRule="exact"/>
              <w:ind w:leftChars="400" w:left="8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（院印）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 w:rsidR="00597CFA"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公章</w:t>
            </w:r>
            <w:r w:rsidR="00597CFA" w:rsidRPr="00597CFA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  <w:p w:rsidR="00DB707C" w:rsidRPr="00DB792B" w:rsidRDefault="00DB707C" w:rsidP="00DB707C">
            <w:pPr>
              <w:spacing w:line="560" w:lineRule="exact"/>
              <w:ind w:leftChars="400" w:left="840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7C2361" w:rsidRDefault="00DB707C" w:rsidP="00B33E47">
      <w:pPr>
        <w:pStyle w:val="Default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DB707C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本清单一式五份，一份统一保存，一份附卷，一份送达有关当事人，一份交被查封/扣押财物、文件保管人，一份交接收人。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B707C" w:rsidRPr="00DB707C" w:rsidRDefault="00DB707C" w:rsidP="00DB707C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B707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一、本文书依据《中华人民共和国刑事诉讼法》第二百四十五条的规定制作。为人民检察院在处理查封/扣押的违禁品或不宜长期保存的物品以及依法对扣押的财物及其</w:t>
      </w:r>
      <w:proofErr w:type="gramStart"/>
      <w:r w:rsidRPr="00DB707C">
        <w:rPr>
          <w:rFonts w:ascii="仿宋_GB2312" w:eastAsia="仿宋_GB2312" w:cs="仿宋_GB2312" w:hint="eastAsia"/>
          <w:sz w:val="32"/>
          <w:szCs w:val="32"/>
        </w:rPr>
        <w:t>孳</w:t>
      </w:r>
      <w:proofErr w:type="gramEnd"/>
      <w:r w:rsidRPr="00DB707C">
        <w:rPr>
          <w:rFonts w:ascii="仿宋_GB2312" w:eastAsia="仿宋_GB2312" w:cs="仿宋_GB2312" w:hint="eastAsia"/>
          <w:sz w:val="32"/>
          <w:szCs w:val="32"/>
        </w:rPr>
        <w:t>息处理时使用。</w:t>
      </w:r>
    </w:p>
    <w:p w:rsidR="004B056D" w:rsidRDefault="00DB707C" w:rsidP="00DB707C">
      <w:pPr>
        <w:pStyle w:val="Default"/>
        <w:ind w:firstLineChars="200" w:firstLine="640"/>
      </w:pPr>
      <w:r w:rsidRPr="00DB707C">
        <w:rPr>
          <w:rFonts w:ascii="仿宋_GB2312" w:eastAsia="仿宋_GB2312" w:cs="仿宋_GB2312" w:hint="eastAsia"/>
          <w:sz w:val="32"/>
          <w:szCs w:val="32"/>
        </w:rPr>
        <w:t>二、本文书共五份，一份统一保存，一份附卷，一份送达有关当事人，一份交被查封/扣押财物、文件保管人，一份交接收单位。文书中“证明文件（人）”一栏所</w:t>
      </w:r>
      <w:proofErr w:type="gramStart"/>
      <w:r w:rsidRPr="00DB707C">
        <w:rPr>
          <w:rFonts w:ascii="仿宋_GB2312" w:eastAsia="仿宋_GB2312" w:cs="仿宋_GB2312" w:hint="eastAsia"/>
          <w:sz w:val="32"/>
          <w:szCs w:val="32"/>
        </w:rPr>
        <w:t>列证</w:t>
      </w:r>
      <w:proofErr w:type="gramEnd"/>
      <w:r w:rsidRPr="00DB707C">
        <w:rPr>
          <w:rFonts w:ascii="仿宋_GB2312" w:eastAsia="仿宋_GB2312" w:cs="仿宋_GB2312" w:hint="eastAsia"/>
          <w:sz w:val="32"/>
          <w:szCs w:val="32"/>
        </w:rPr>
        <w:t>明文件应连同本文书一并附卷。五份清单使用同一编号。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18" w:rsidRDefault="00280718" w:rsidP="008C3ED3">
      <w:r>
        <w:separator/>
      </w:r>
    </w:p>
  </w:endnote>
  <w:endnote w:type="continuationSeparator" w:id="0">
    <w:p w:rsidR="00280718" w:rsidRDefault="00280718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18" w:rsidRDefault="00280718" w:rsidP="008C3ED3">
      <w:r>
        <w:separator/>
      </w:r>
    </w:p>
  </w:footnote>
  <w:footnote w:type="continuationSeparator" w:id="0">
    <w:p w:rsidR="00280718" w:rsidRDefault="00280718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80718"/>
    <w:rsid w:val="00284CBF"/>
    <w:rsid w:val="00316CA7"/>
    <w:rsid w:val="00350DCF"/>
    <w:rsid w:val="0037119C"/>
    <w:rsid w:val="003C7FD6"/>
    <w:rsid w:val="0042715B"/>
    <w:rsid w:val="004A43FC"/>
    <w:rsid w:val="004B056D"/>
    <w:rsid w:val="004F3DDE"/>
    <w:rsid w:val="00535F68"/>
    <w:rsid w:val="005432AF"/>
    <w:rsid w:val="00581E03"/>
    <w:rsid w:val="00597CFA"/>
    <w:rsid w:val="006460EB"/>
    <w:rsid w:val="00774367"/>
    <w:rsid w:val="007B505F"/>
    <w:rsid w:val="007C2361"/>
    <w:rsid w:val="007E5CD7"/>
    <w:rsid w:val="008233FC"/>
    <w:rsid w:val="008455BA"/>
    <w:rsid w:val="0085501D"/>
    <w:rsid w:val="00872897"/>
    <w:rsid w:val="008B4FDB"/>
    <w:rsid w:val="008C3ED3"/>
    <w:rsid w:val="0090344C"/>
    <w:rsid w:val="00974129"/>
    <w:rsid w:val="00983628"/>
    <w:rsid w:val="009D1301"/>
    <w:rsid w:val="009D1FCB"/>
    <w:rsid w:val="00A22864"/>
    <w:rsid w:val="00A3643C"/>
    <w:rsid w:val="00A4111E"/>
    <w:rsid w:val="00AA61B6"/>
    <w:rsid w:val="00AE7B9C"/>
    <w:rsid w:val="00B33E47"/>
    <w:rsid w:val="00B364FE"/>
    <w:rsid w:val="00BB1073"/>
    <w:rsid w:val="00BD20A2"/>
    <w:rsid w:val="00C564F8"/>
    <w:rsid w:val="00C65D83"/>
    <w:rsid w:val="00C860A5"/>
    <w:rsid w:val="00D0386A"/>
    <w:rsid w:val="00D20A7F"/>
    <w:rsid w:val="00D91B53"/>
    <w:rsid w:val="00D9521C"/>
    <w:rsid w:val="00DB707C"/>
    <w:rsid w:val="00DE525A"/>
    <w:rsid w:val="00E902C5"/>
    <w:rsid w:val="00EE273B"/>
    <w:rsid w:val="00EF5D80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2020-03-01T09:26:00Z</dcterms:created>
  <dcterms:modified xsi:type="dcterms:W3CDTF">2020-03-16T03:11:00Z</dcterms:modified>
</cp:coreProperties>
</file>