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105D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105DF">
              <w:rPr>
                <w:rFonts w:ascii="宋体" w:hAnsi="宋体" w:hint="eastAsia"/>
                <w:b/>
                <w:sz w:val="44"/>
                <w:szCs w:val="44"/>
              </w:rPr>
              <w:t>不予逮捕决定书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105DF" w:rsidRPr="004B056D" w:rsidRDefault="002105D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FF2F62" w:rsidRPr="004B056D" w:rsidRDefault="00FF2F62" w:rsidP="00FF2F6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</w:t>
            </w:r>
            <w:r w:rsidR="002105DF">
              <w:rPr>
                <w:rFonts w:ascii="仿宋_GB2312" w:eastAsia="仿宋_GB2312" w:hAnsi="Times New Roman" w:hint="eastAsia"/>
                <w:sz w:val="32"/>
                <w:szCs w:val="32"/>
              </w:rPr>
              <w:t>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逮捕原因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2105D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2105DF" w:rsidRPr="004B056D" w:rsidRDefault="002105DF" w:rsidP="002105D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移送部门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105D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105DF">
              <w:rPr>
                <w:rFonts w:ascii="宋体" w:hAnsi="宋体" w:hint="eastAsia"/>
                <w:b/>
                <w:sz w:val="44"/>
                <w:szCs w:val="44"/>
              </w:rPr>
              <w:t>不予逮捕决定书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65021C" wp14:editId="490EB02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0D4B6F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bookmarkStart w:id="2" w:name="_GoBack"/>
            <w:bookmarkEnd w:id="2"/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105DF" w:rsidRDefault="002105DF" w:rsidP="002105D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号逮捕意见书移送审查逮捕的犯罪嫌疑人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一案，经审查认为：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  <w:p w:rsidR="00E902C5" w:rsidRDefault="002105DF" w:rsidP="002105D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。根据《中华人民共和国刑事诉讼法》第八十一条、第一百六十七条的规定，决定不予逮捕犯罪嫌疑人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。犯罪嫌疑人已被拘留的，请依法通知公安机关立即执行，并在公安机关执行三日以内将执行情况通知本部门。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105DF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2105DF" w:rsidTr="007466C6">
        <w:trPr>
          <w:trHeight w:hRule="exact" w:val="12026"/>
          <w:jc w:val="center"/>
        </w:trPr>
        <w:tc>
          <w:tcPr>
            <w:tcW w:w="8845" w:type="dxa"/>
          </w:tcPr>
          <w:p w:rsidR="002105DF" w:rsidRDefault="002105DF" w:rsidP="007466C6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2105DF" w:rsidRDefault="002105DF" w:rsidP="007466C6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2105DF" w:rsidRPr="00535F68" w:rsidRDefault="002105DF" w:rsidP="007466C6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105DF">
              <w:rPr>
                <w:rFonts w:ascii="宋体" w:hAnsi="宋体" w:hint="eastAsia"/>
                <w:b/>
                <w:sz w:val="44"/>
                <w:szCs w:val="44"/>
              </w:rPr>
              <w:t>不予逮捕决定书</w:t>
            </w:r>
          </w:p>
          <w:p w:rsidR="002105DF" w:rsidRDefault="002105DF" w:rsidP="007466C6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1316D0" wp14:editId="1C5F1E4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2105DF" w:rsidRPr="0055015B" w:rsidRDefault="002105DF" w:rsidP="007466C6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2105DF" w:rsidRDefault="002105DF" w:rsidP="007466C6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105DF" w:rsidRPr="00535F68" w:rsidRDefault="002105DF" w:rsidP="007466C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105DF" w:rsidRDefault="002105DF" w:rsidP="002105D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号逮捕意见书移送审查逮捕的犯罪嫌疑人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一案，经审查认为：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2105DF" w:rsidRDefault="002105DF" w:rsidP="007466C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。根据《中华人民共和国刑事诉讼法》第八十一条、第一百六十七条的规定，决定不予逮捕犯罪嫌疑人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。犯罪嫌疑人已被拘留的，请依法通知公安机关立即执行，并在公安机关执行三日以内将执行情况通知本部门。</w:t>
            </w:r>
          </w:p>
          <w:p w:rsidR="002105DF" w:rsidRDefault="002105DF" w:rsidP="007466C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105DF" w:rsidRDefault="002105DF" w:rsidP="007466C6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2105DF" w:rsidRPr="005432AF" w:rsidRDefault="002105DF" w:rsidP="007466C6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2105DF" w:rsidRDefault="002105DF" w:rsidP="007466C6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2105DF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第三联　交移送部门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2105DF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105DF">
              <w:rPr>
                <w:rFonts w:ascii="宋体" w:hAnsi="宋体" w:hint="eastAsia"/>
                <w:b/>
                <w:sz w:val="44"/>
                <w:szCs w:val="44"/>
              </w:rPr>
              <w:t>不予逮捕决定书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105DF" w:rsidRDefault="002105DF" w:rsidP="002105D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号逮捕意见书移送审查逮捕的犯罪嫌疑人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一案，经审查认为：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535F68" w:rsidRDefault="002105DF" w:rsidP="002105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。根据《中华人民共和国刑事诉讼法》第八十一条、第一百六十七条的规定，决定不予逮捕犯罪嫌疑人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105DF">
              <w:rPr>
                <w:rFonts w:ascii="仿宋_GB2312" w:eastAsia="仿宋_GB2312" w:hint="eastAsia"/>
                <w:sz w:val="32"/>
                <w:szCs w:val="32"/>
              </w:rPr>
              <w:t>。犯罪嫌疑人已被拘留的，请依法通知公安机关立即执行，并在公安机关执行三日以内将执行情况通知本部门。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105DF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2105DF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2105DF">
        <w:rPr>
          <w:rFonts w:ascii="楷体_GB2312" w:eastAsia="楷体_GB2312" w:hAnsi="仿宋" w:hint="eastAsia"/>
          <w:szCs w:val="21"/>
        </w:rPr>
        <w:t>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2105D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105DF">
              <w:rPr>
                <w:rFonts w:ascii="宋体" w:hAnsi="宋体" w:hint="eastAsia"/>
                <w:b/>
                <w:sz w:val="44"/>
                <w:szCs w:val="44"/>
              </w:rPr>
              <w:t>不予逮捕决定书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364B2B" wp14:editId="3AEE7AA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72318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Default="00535F68" w:rsidP="002A6578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="002105DF"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逮捕决定书的执行情况通知如下：</w:t>
            </w:r>
            <w:r w:rsidR="002105DF">
              <w:rPr>
                <w:rFonts w:ascii="仿宋_GB2312" w:eastAsia="仿宋_GB2312" w:hint="eastAsia"/>
                <w:sz w:val="32"/>
                <w:szCs w:val="32"/>
              </w:rPr>
              <w:t>决定不予逮捕的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2105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释放</w:t>
            </w:r>
            <w:r w:rsidR="002105DF" w:rsidRPr="002105DF">
              <w:rPr>
                <w:rFonts w:ascii="仿宋_GB2312" w:eastAsia="仿宋_GB2312" w:hAnsi="Times New Roman" w:hint="eastAsia"/>
                <w:sz w:val="32"/>
                <w:szCs w:val="32"/>
              </w:rPr>
              <w:t>/变更为</w:t>
            </w:r>
            <w:r w:rsidR="002A657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。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A6578" w:rsidRPr="00535F68" w:rsidRDefault="002A657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2105DF"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>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2105DF" w:rsidRPr="002105DF">
        <w:rPr>
          <w:rFonts w:ascii="楷体_GB2312" w:eastAsia="楷体_GB2312" w:hAnsi="仿宋" w:hint="eastAsia"/>
          <w:szCs w:val="21"/>
        </w:rPr>
        <w:t>执行机关退回后附卷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105DF" w:rsidRPr="002105DF" w:rsidRDefault="002105DF" w:rsidP="002105D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105D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一、本文书依据《中华人民共和国刑事诉讼法》第八十一条、第一百六十七条的规定制作。为</w:t>
      </w:r>
      <w:proofErr w:type="gramStart"/>
      <w:r w:rsidRPr="002105DF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2105DF">
        <w:rPr>
          <w:rFonts w:ascii="仿宋_GB2312" w:eastAsia="仿宋_GB2312" w:cs="仿宋_GB2312" w:hint="eastAsia"/>
          <w:sz w:val="32"/>
          <w:szCs w:val="32"/>
        </w:rPr>
        <w:t>部门在审查本院负责侦查的部门移送审查逮捕犯罪嫌疑人时，认为犯罪嫌疑人的行为不符合逮捕条件，决定不予逮捕犯罪嫌疑人时使用。</w:t>
      </w:r>
    </w:p>
    <w:p w:rsidR="002105DF" w:rsidRPr="002105DF" w:rsidRDefault="002105DF" w:rsidP="002105D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105DF">
        <w:rPr>
          <w:rFonts w:ascii="仿宋_GB2312" w:eastAsia="仿宋_GB2312" w:cs="仿宋_GB2312" w:hint="eastAsia"/>
          <w:sz w:val="32"/>
          <w:szCs w:val="32"/>
        </w:rPr>
        <w:t>二、第二联、第三联中应写明不予逮捕犯罪嫌疑人的原因，如认为不构成犯罪、事实不清、证据不足、不可能判处徒刑以上刑罚、没有社会危险性或者认为应当适用监视居住等。</w:t>
      </w:r>
    </w:p>
    <w:p w:rsidR="002105DF" w:rsidRPr="002105DF" w:rsidRDefault="002105DF" w:rsidP="002105D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105DF">
        <w:rPr>
          <w:rFonts w:ascii="仿宋_GB2312" w:eastAsia="仿宋_GB2312" w:cs="仿宋_GB2312" w:hint="eastAsia"/>
          <w:sz w:val="32"/>
          <w:szCs w:val="32"/>
        </w:rPr>
        <w:t>三、第二联、第三联的抬头部分填写移送部门，第四联的抬头部分填写公安机关，第五联的抬头部分填写执行机关的同级人民检察院。</w:t>
      </w:r>
    </w:p>
    <w:p w:rsidR="004B056D" w:rsidRDefault="002105DF" w:rsidP="002105DF">
      <w:pPr>
        <w:pStyle w:val="Default"/>
        <w:ind w:firstLineChars="200" w:firstLine="640"/>
      </w:pPr>
      <w:r w:rsidRPr="002105DF">
        <w:rPr>
          <w:rFonts w:ascii="仿宋_GB2312" w:eastAsia="仿宋_GB2312" w:cs="仿宋_GB2312" w:hint="eastAsia"/>
          <w:sz w:val="32"/>
          <w:szCs w:val="32"/>
        </w:rPr>
        <w:t>四、本文书共五联，第一</w:t>
      </w:r>
      <w:proofErr w:type="gramStart"/>
      <w:r w:rsidRPr="002105DF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2105DF">
        <w:rPr>
          <w:rFonts w:ascii="仿宋_GB2312" w:eastAsia="仿宋_GB2312" w:cs="仿宋_GB2312" w:hint="eastAsia"/>
          <w:sz w:val="32"/>
          <w:szCs w:val="32"/>
        </w:rPr>
        <w:t>保存备查；第二联由</w:t>
      </w:r>
      <w:proofErr w:type="gramStart"/>
      <w:r w:rsidRPr="002105DF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2105DF">
        <w:rPr>
          <w:rFonts w:ascii="仿宋_GB2312" w:eastAsia="仿宋_GB2312" w:cs="仿宋_GB2312" w:hint="eastAsia"/>
          <w:sz w:val="32"/>
          <w:szCs w:val="32"/>
        </w:rPr>
        <w:t>部门附卷；第三联交移送部门；第四</w:t>
      </w:r>
      <w:proofErr w:type="gramStart"/>
      <w:r w:rsidRPr="002105DF">
        <w:rPr>
          <w:rFonts w:ascii="仿宋_GB2312" w:eastAsia="仿宋_GB2312" w:cs="仿宋_GB2312" w:hint="eastAsia"/>
          <w:sz w:val="32"/>
          <w:szCs w:val="32"/>
        </w:rPr>
        <w:t>联对于</w:t>
      </w:r>
      <w:proofErr w:type="gramEnd"/>
      <w:r w:rsidRPr="002105DF">
        <w:rPr>
          <w:rFonts w:ascii="仿宋_GB2312" w:eastAsia="仿宋_GB2312" w:cs="仿宋_GB2312" w:hint="eastAsia"/>
          <w:sz w:val="32"/>
          <w:szCs w:val="32"/>
        </w:rPr>
        <w:t>犯罪嫌疑人已被拘留的，应当填写该联，送达公安机关执行；第五联为执行回执，由执行机关执行后交人民检察院附卷。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CB" w:rsidRDefault="00856BCB" w:rsidP="00054F05">
      <w:r>
        <w:separator/>
      </w:r>
    </w:p>
  </w:endnote>
  <w:endnote w:type="continuationSeparator" w:id="0">
    <w:p w:rsidR="00856BCB" w:rsidRDefault="00856BCB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CB" w:rsidRDefault="00856BCB" w:rsidP="00054F05">
      <w:r>
        <w:separator/>
      </w:r>
    </w:p>
  </w:footnote>
  <w:footnote w:type="continuationSeparator" w:id="0">
    <w:p w:rsidR="00856BCB" w:rsidRDefault="00856BCB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7185"/>
    <w:rsid w:val="00054F05"/>
    <w:rsid w:val="0009401E"/>
    <w:rsid w:val="000D4B6F"/>
    <w:rsid w:val="00121D54"/>
    <w:rsid w:val="002105DF"/>
    <w:rsid w:val="002A6578"/>
    <w:rsid w:val="00444592"/>
    <w:rsid w:val="004B056D"/>
    <w:rsid w:val="00535F68"/>
    <w:rsid w:val="005432AF"/>
    <w:rsid w:val="0055015B"/>
    <w:rsid w:val="005847CB"/>
    <w:rsid w:val="00676368"/>
    <w:rsid w:val="008471AA"/>
    <w:rsid w:val="00856BCB"/>
    <w:rsid w:val="0086387F"/>
    <w:rsid w:val="00A4111E"/>
    <w:rsid w:val="00A80936"/>
    <w:rsid w:val="00B356DB"/>
    <w:rsid w:val="00BD20A2"/>
    <w:rsid w:val="00C422E1"/>
    <w:rsid w:val="00C57E4D"/>
    <w:rsid w:val="00C72318"/>
    <w:rsid w:val="00D179A1"/>
    <w:rsid w:val="00D35AC8"/>
    <w:rsid w:val="00E760B4"/>
    <w:rsid w:val="00E902C5"/>
    <w:rsid w:val="00F95E46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2020-03-11T01:07:00Z</dcterms:created>
  <dcterms:modified xsi:type="dcterms:W3CDTF">2020-03-11T02:01:00Z</dcterms:modified>
</cp:coreProperties>
</file>