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362976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62976">
              <w:rPr>
                <w:rFonts w:ascii="宋体" w:hAnsi="宋体" w:hint="eastAsia"/>
                <w:b/>
                <w:sz w:val="44"/>
                <w:szCs w:val="44"/>
              </w:rPr>
              <w:t>撤销不予逮捕决定书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31BF">
              <w:rPr>
                <w:rFonts w:ascii="楷体_GB2312" w:eastAsia="楷体_GB2312" w:hint="eastAsia"/>
                <w:sz w:val="28"/>
                <w:szCs w:val="28"/>
              </w:rPr>
              <w:t>撤</w:t>
            </w:r>
            <w:r w:rsidR="00121D54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121D5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</w:t>
            </w:r>
          </w:p>
          <w:p w:rsidR="002331BF" w:rsidRPr="004B056D" w:rsidRDefault="002331BF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2A2D" w:rsidRPr="004B056D" w:rsidRDefault="00362976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移送部门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2331BF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</w:t>
            </w:r>
          </w:p>
          <w:p w:rsidR="004B056D" w:rsidRDefault="002331BF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2331BF">
              <w:rPr>
                <w:rFonts w:ascii="仿宋_GB2312" w:eastAsia="仿宋_GB2312" w:hAnsi="Times New Roman" w:hint="eastAsia"/>
                <w:sz w:val="32"/>
                <w:szCs w:val="32"/>
              </w:rPr>
              <w:t>不</w:t>
            </w:r>
            <w:r w:rsidR="00362976">
              <w:rPr>
                <w:rFonts w:ascii="仿宋_GB2312" w:eastAsia="仿宋_GB2312" w:hAnsi="Times New Roman" w:hint="eastAsia"/>
                <w:sz w:val="32"/>
                <w:szCs w:val="32"/>
              </w:rPr>
              <w:t>予</w:t>
            </w:r>
            <w:r w:rsidRPr="002331BF">
              <w:rPr>
                <w:rFonts w:ascii="仿宋_GB2312" w:eastAsia="仿宋_GB2312" w:hAnsi="Times New Roman" w:hint="eastAsia"/>
                <w:sz w:val="32"/>
                <w:szCs w:val="32"/>
              </w:rPr>
              <w:t>逮捕决定书文号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</w:t>
            </w:r>
            <w:r w:rsidR="0036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</w:t>
            </w:r>
          </w:p>
          <w:p w:rsidR="002331BF" w:rsidRDefault="002331BF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2331BF">
              <w:rPr>
                <w:rFonts w:ascii="仿宋_GB2312" w:eastAsia="仿宋_GB2312" w:hAnsi="Times New Roman" w:hint="eastAsia"/>
                <w:sz w:val="32"/>
                <w:szCs w:val="32"/>
              </w:rPr>
              <w:t>撤销不</w:t>
            </w:r>
            <w:r w:rsidR="00362976">
              <w:rPr>
                <w:rFonts w:ascii="仿宋_GB2312" w:eastAsia="仿宋_GB2312" w:hAnsi="Times New Roman" w:hint="eastAsia"/>
                <w:sz w:val="32"/>
                <w:szCs w:val="32"/>
              </w:rPr>
              <w:t>予</w:t>
            </w:r>
            <w:r w:rsidRPr="002331BF">
              <w:rPr>
                <w:rFonts w:ascii="仿宋_GB2312" w:eastAsia="仿宋_GB2312" w:hAnsi="Times New Roman" w:hint="eastAsia"/>
                <w:sz w:val="32"/>
                <w:szCs w:val="32"/>
              </w:rPr>
              <w:t>逮捕决定的理由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36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</w:t>
            </w:r>
          </w:p>
          <w:p w:rsidR="002331BF" w:rsidRPr="004B056D" w:rsidRDefault="002331BF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362976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62976">
              <w:rPr>
                <w:rFonts w:ascii="宋体" w:hAnsi="宋体" w:hint="eastAsia"/>
                <w:b/>
                <w:sz w:val="44"/>
                <w:szCs w:val="44"/>
              </w:rPr>
              <w:t>撤销不予逮捕决定书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31BF">
              <w:rPr>
                <w:rFonts w:ascii="楷体_GB2312" w:eastAsia="楷体_GB2312" w:hint="eastAsia"/>
                <w:sz w:val="28"/>
                <w:szCs w:val="28"/>
              </w:rPr>
              <w:t>撤</w:t>
            </w:r>
            <w:r w:rsidR="00121D54">
              <w:rPr>
                <w:rFonts w:ascii="楷体_GB2312" w:eastAsia="楷体_GB2312" w:cs="楷体_GB2312" w:hint="eastAsia"/>
                <w:sz w:val="28"/>
                <w:szCs w:val="28"/>
              </w:rPr>
              <w:t>不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362976" w:rsidRDefault="00E902C5" w:rsidP="00362976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36297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331B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36297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2331B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2331BF" w:rsidRPr="002331B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362976">
              <w:rPr>
                <w:rFonts w:ascii="仿宋_GB2312" w:eastAsia="仿宋_GB2312" w:hint="eastAsia"/>
                <w:sz w:val="32"/>
                <w:szCs w:val="32"/>
              </w:rPr>
              <w:t>文书决定</w:t>
            </w:r>
            <w:r w:rsidR="002331BF">
              <w:rPr>
                <w:rFonts w:ascii="仿宋_GB2312" w:eastAsia="仿宋_GB2312" w:hint="eastAsia"/>
                <w:sz w:val="32"/>
                <w:szCs w:val="32"/>
              </w:rPr>
              <w:t>不</w:t>
            </w:r>
            <w:r w:rsidR="00362976">
              <w:rPr>
                <w:rFonts w:ascii="仿宋_GB2312" w:eastAsia="仿宋_GB2312" w:hint="eastAsia"/>
                <w:sz w:val="32"/>
                <w:szCs w:val="32"/>
              </w:rPr>
              <w:t>予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逮捕</w:t>
            </w:r>
            <w:r w:rsidR="002331BF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 w:rsidR="002331B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="002331BF"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36297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2331BF"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经</w:t>
            </w:r>
            <w:r w:rsidR="00362976">
              <w:rPr>
                <w:rFonts w:ascii="仿宋_GB2312" w:eastAsia="仿宋_GB2312" w:hint="eastAsia"/>
                <w:sz w:val="32"/>
                <w:szCs w:val="32"/>
              </w:rPr>
              <w:t>重新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审查认为</w:t>
            </w:r>
            <w:r w:rsidR="002A6578"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EA3EC2"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="002A6578" w:rsidRPr="002A6578">
              <w:rPr>
                <w:rFonts w:ascii="仿宋_GB2312" w:eastAsia="仿宋_GB2312" w:hint="eastAsia"/>
                <w:sz w:val="32"/>
                <w:szCs w:val="32"/>
              </w:rPr>
              <w:t>根据《</w:t>
            </w:r>
            <w:r w:rsidR="00362976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 w:rsidR="002A6578" w:rsidRPr="002A6578">
              <w:rPr>
                <w:rFonts w:ascii="仿宋_GB2312" w:eastAsia="仿宋_GB2312" w:hint="eastAsia"/>
                <w:sz w:val="32"/>
                <w:szCs w:val="32"/>
              </w:rPr>
              <w:t>刑事诉讼</w:t>
            </w:r>
            <w:r w:rsidR="00362976">
              <w:rPr>
                <w:rFonts w:ascii="仿宋_GB2312" w:eastAsia="仿宋_GB2312" w:hint="eastAsia"/>
                <w:sz w:val="32"/>
                <w:szCs w:val="32"/>
              </w:rPr>
              <w:t>规则</w:t>
            </w:r>
            <w:r w:rsidR="002A6578" w:rsidRPr="002A6578">
              <w:rPr>
                <w:rFonts w:ascii="仿宋_GB2312" w:eastAsia="仿宋_GB2312" w:hint="eastAsia"/>
                <w:sz w:val="32"/>
                <w:szCs w:val="32"/>
              </w:rPr>
              <w:t>》第</w:t>
            </w:r>
            <w:r w:rsidR="0036297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2A6578" w:rsidRPr="002A6578">
              <w:rPr>
                <w:rFonts w:ascii="仿宋_GB2312" w:eastAsia="仿宋_GB2312" w:hint="eastAsia"/>
                <w:sz w:val="32"/>
                <w:szCs w:val="32"/>
              </w:rPr>
              <w:t>条的规定，</w:t>
            </w:r>
            <w:r w:rsidR="002331BF" w:rsidRPr="002331BF">
              <w:rPr>
                <w:rFonts w:ascii="仿宋_GB2312" w:eastAsia="仿宋_GB2312" w:hint="eastAsia"/>
                <w:sz w:val="32"/>
                <w:szCs w:val="32"/>
              </w:rPr>
              <w:t>决定撤销对犯罪嫌疑人</w:t>
            </w:r>
            <w:r w:rsidR="002331B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36297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2331B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331BF" w:rsidRPr="002331BF">
              <w:rPr>
                <w:rFonts w:ascii="仿宋_GB2312" w:eastAsia="仿宋_GB2312" w:hint="eastAsia"/>
                <w:sz w:val="32"/>
                <w:szCs w:val="32"/>
              </w:rPr>
              <w:t>的不</w:t>
            </w:r>
            <w:r w:rsidR="00362976">
              <w:rPr>
                <w:rFonts w:ascii="仿宋_GB2312" w:eastAsia="仿宋_GB2312" w:hint="eastAsia"/>
                <w:sz w:val="32"/>
                <w:szCs w:val="32"/>
              </w:rPr>
              <w:t>予</w:t>
            </w:r>
            <w:r w:rsidR="002331BF" w:rsidRPr="002331BF">
              <w:rPr>
                <w:rFonts w:ascii="仿宋_GB2312" w:eastAsia="仿宋_GB2312" w:hint="eastAsia"/>
                <w:sz w:val="32"/>
                <w:szCs w:val="32"/>
              </w:rPr>
              <w:t>逮捕决定。</w:t>
            </w:r>
          </w:p>
          <w:p w:rsidR="00E902C5" w:rsidRDefault="002331BF" w:rsidP="0036297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2331BF">
              <w:rPr>
                <w:rFonts w:ascii="仿宋_GB2312" w:eastAsia="仿宋_GB2312" w:hint="eastAsia"/>
                <w:sz w:val="32"/>
                <w:szCs w:val="32"/>
              </w:rPr>
              <w:t>号不</w:t>
            </w:r>
            <w:r w:rsidR="00362976">
              <w:rPr>
                <w:rFonts w:ascii="仿宋_GB2312" w:eastAsia="仿宋_GB2312" w:hint="eastAsia"/>
                <w:sz w:val="32"/>
                <w:szCs w:val="32"/>
              </w:rPr>
              <w:t>予</w:t>
            </w:r>
            <w:r w:rsidRPr="002331BF">
              <w:rPr>
                <w:rFonts w:ascii="仿宋_GB2312" w:eastAsia="仿宋_GB2312" w:hint="eastAsia"/>
                <w:sz w:val="32"/>
                <w:szCs w:val="32"/>
              </w:rPr>
              <w:t>逮捕决定书作废。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2331BF" w:rsidRDefault="002331BF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362976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62976">
              <w:rPr>
                <w:rFonts w:ascii="宋体" w:hAnsi="宋体" w:hint="eastAsia"/>
                <w:b/>
                <w:sz w:val="44"/>
                <w:szCs w:val="44"/>
              </w:rPr>
              <w:t>撤销不予逮捕决定书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31BF">
              <w:rPr>
                <w:rFonts w:ascii="楷体_GB2312" w:eastAsia="楷体_GB2312" w:hint="eastAsia"/>
                <w:sz w:val="28"/>
                <w:szCs w:val="28"/>
              </w:rPr>
              <w:t>撤</w:t>
            </w:r>
            <w:r w:rsidR="00121D54">
              <w:rPr>
                <w:rFonts w:ascii="楷体_GB2312" w:eastAsia="楷体_GB2312" w:cs="楷体_GB2312" w:hint="eastAsia"/>
                <w:sz w:val="28"/>
                <w:szCs w:val="28"/>
              </w:rPr>
              <w:t>不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362976" w:rsidRPr="00535F68" w:rsidRDefault="00535F68" w:rsidP="0036297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362976" w:rsidRDefault="00362976" w:rsidP="00362976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2331B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int="eastAsia"/>
                <w:sz w:val="32"/>
                <w:szCs w:val="32"/>
              </w:rPr>
              <w:t>文书决定不予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逮捕</w:t>
            </w:r>
            <w:r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经</w:t>
            </w:r>
            <w:r>
              <w:rPr>
                <w:rFonts w:ascii="仿宋_GB2312" w:eastAsia="仿宋_GB2312" w:hint="eastAsia"/>
                <w:sz w:val="32"/>
                <w:szCs w:val="32"/>
              </w:rPr>
              <w:t>重新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审查认为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Pr="002A6578">
              <w:rPr>
                <w:rFonts w:ascii="仿宋_GB2312" w:eastAsia="仿宋_GB2312" w:hint="eastAsia"/>
                <w:sz w:val="32"/>
                <w:szCs w:val="32"/>
              </w:rPr>
              <w:t>根据《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 w:rsidRPr="002A6578">
              <w:rPr>
                <w:rFonts w:ascii="仿宋_GB2312" w:eastAsia="仿宋_GB2312" w:hint="eastAsia"/>
                <w:sz w:val="32"/>
                <w:szCs w:val="32"/>
              </w:rPr>
              <w:t>刑事诉讼</w:t>
            </w:r>
            <w:r>
              <w:rPr>
                <w:rFonts w:ascii="仿宋_GB2312" w:eastAsia="仿宋_GB2312" w:hint="eastAsia"/>
                <w:sz w:val="32"/>
                <w:szCs w:val="32"/>
              </w:rPr>
              <w:t>规则</w:t>
            </w:r>
            <w:r w:rsidRPr="002A6578">
              <w:rPr>
                <w:rFonts w:ascii="仿宋_GB2312" w:eastAsia="仿宋_GB2312" w:hint="eastAsia"/>
                <w:sz w:val="32"/>
                <w:szCs w:val="32"/>
              </w:rPr>
              <w:t>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2A6578">
              <w:rPr>
                <w:rFonts w:ascii="仿宋_GB2312" w:eastAsia="仿宋_GB2312" w:hint="eastAsia"/>
                <w:sz w:val="32"/>
                <w:szCs w:val="32"/>
              </w:rPr>
              <w:t>条的规定，</w:t>
            </w:r>
            <w:r w:rsidRPr="002331BF">
              <w:rPr>
                <w:rFonts w:ascii="仿宋_GB2312" w:eastAsia="仿宋_GB2312" w:hint="eastAsia"/>
                <w:sz w:val="32"/>
                <w:szCs w:val="32"/>
              </w:rPr>
              <w:t>决定撤销对犯罪嫌疑人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2331BF">
              <w:rPr>
                <w:rFonts w:ascii="仿宋_GB2312" w:eastAsia="仿宋_GB2312" w:hint="eastAsia"/>
                <w:sz w:val="32"/>
                <w:szCs w:val="32"/>
              </w:rPr>
              <w:t>的不</w:t>
            </w:r>
            <w:r>
              <w:rPr>
                <w:rFonts w:ascii="仿宋_GB2312" w:eastAsia="仿宋_GB2312" w:hint="eastAsia"/>
                <w:sz w:val="32"/>
                <w:szCs w:val="32"/>
              </w:rPr>
              <w:t>予</w:t>
            </w:r>
            <w:r w:rsidRPr="002331BF">
              <w:rPr>
                <w:rFonts w:ascii="仿宋_GB2312" w:eastAsia="仿宋_GB2312" w:hint="eastAsia"/>
                <w:sz w:val="32"/>
                <w:szCs w:val="32"/>
              </w:rPr>
              <w:t>逮捕决定。</w:t>
            </w:r>
          </w:p>
          <w:p w:rsidR="00535F68" w:rsidRDefault="00362976" w:rsidP="00362976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2331BF">
              <w:rPr>
                <w:rFonts w:ascii="仿宋_GB2312" w:eastAsia="仿宋_GB2312" w:hint="eastAsia"/>
                <w:sz w:val="32"/>
                <w:szCs w:val="32"/>
              </w:rPr>
              <w:t>号不</w:t>
            </w:r>
            <w:r>
              <w:rPr>
                <w:rFonts w:ascii="仿宋_GB2312" w:eastAsia="仿宋_GB2312" w:hint="eastAsia"/>
                <w:sz w:val="32"/>
                <w:szCs w:val="32"/>
              </w:rPr>
              <w:t>予</w:t>
            </w:r>
            <w:r w:rsidRPr="002331BF">
              <w:rPr>
                <w:rFonts w:ascii="仿宋_GB2312" w:eastAsia="仿宋_GB2312" w:hint="eastAsia"/>
                <w:sz w:val="32"/>
                <w:szCs w:val="32"/>
              </w:rPr>
              <w:t>逮捕决定书作废。</w:t>
            </w:r>
          </w:p>
          <w:p w:rsidR="00362976" w:rsidRDefault="00362976" w:rsidP="0036297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362976">
        <w:rPr>
          <w:rFonts w:ascii="楷体_GB2312" w:eastAsia="楷体_GB2312" w:hAnsi="仿宋" w:hint="eastAsia"/>
          <w:szCs w:val="21"/>
        </w:rPr>
        <w:t>交移送部门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362976" w:rsidRPr="00362976" w:rsidRDefault="00362976" w:rsidP="00362976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362976">
        <w:rPr>
          <w:rFonts w:ascii="仿宋_GB2312" w:eastAsia="仿宋_GB2312" w:cs="仿宋_GB2312" w:hint="eastAsia"/>
          <w:sz w:val="32"/>
          <w:szCs w:val="32"/>
        </w:rPr>
        <w:t>一、本文书依据《人民检察院刑事诉讼规则》第三百零三条的规定制作。为审查逮捕案件中，负责侦查的部门对不予逮捕决定提出异议，</w:t>
      </w:r>
      <w:proofErr w:type="gramStart"/>
      <w:r w:rsidRPr="00362976">
        <w:rPr>
          <w:rFonts w:ascii="仿宋_GB2312" w:eastAsia="仿宋_GB2312" w:cs="仿宋_GB2312" w:hint="eastAsia"/>
          <w:sz w:val="32"/>
          <w:szCs w:val="32"/>
        </w:rPr>
        <w:t>负责捕诉的</w:t>
      </w:r>
      <w:proofErr w:type="gramEnd"/>
      <w:r w:rsidRPr="00362976">
        <w:rPr>
          <w:rFonts w:ascii="仿宋_GB2312" w:eastAsia="仿宋_GB2312" w:cs="仿宋_GB2312" w:hint="eastAsia"/>
          <w:sz w:val="32"/>
          <w:szCs w:val="32"/>
        </w:rPr>
        <w:t>部门重新审查发现原不予逮捕决定不当而予以撤销时使用。</w:t>
      </w:r>
    </w:p>
    <w:p w:rsidR="00362976" w:rsidRPr="00362976" w:rsidRDefault="00362976" w:rsidP="00362976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362976">
        <w:rPr>
          <w:rFonts w:ascii="仿宋_GB2312" w:eastAsia="仿宋_GB2312" w:cs="仿宋_GB2312" w:hint="eastAsia"/>
          <w:sz w:val="32"/>
          <w:szCs w:val="32"/>
        </w:rPr>
        <w:t>二、本文书与逮捕决定书一并送达移送部门。</w:t>
      </w:r>
    </w:p>
    <w:p w:rsidR="004B056D" w:rsidRDefault="00362976" w:rsidP="00362976">
      <w:pPr>
        <w:pStyle w:val="Default"/>
        <w:ind w:firstLineChars="200" w:firstLine="640"/>
      </w:pPr>
      <w:r w:rsidRPr="00362976">
        <w:rPr>
          <w:rFonts w:ascii="仿宋_GB2312" w:eastAsia="仿宋_GB2312" w:cs="仿宋_GB2312" w:hint="eastAsia"/>
          <w:sz w:val="32"/>
          <w:szCs w:val="32"/>
        </w:rPr>
        <w:t>三、本文书共三联，第一</w:t>
      </w:r>
      <w:proofErr w:type="gramStart"/>
      <w:r w:rsidRPr="00362976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362976">
        <w:rPr>
          <w:rFonts w:ascii="仿宋_GB2312" w:eastAsia="仿宋_GB2312" w:cs="仿宋_GB2312" w:hint="eastAsia"/>
          <w:sz w:val="32"/>
          <w:szCs w:val="32"/>
        </w:rPr>
        <w:t>保存备查；第二联附卷；第三联交移送部门。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9BE" w:rsidRDefault="006D39BE" w:rsidP="00054F05">
      <w:r>
        <w:separator/>
      </w:r>
    </w:p>
  </w:endnote>
  <w:endnote w:type="continuationSeparator" w:id="0">
    <w:p w:rsidR="006D39BE" w:rsidRDefault="006D39BE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9BE" w:rsidRDefault="006D39BE" w:rsidP="00054F05">
      <w:r>
        <w:separator/>
      </w:r>
    </w:p>
  </w:footnote>
  <w:footnote w:type="continuationSeparator" w:id="0">
    <w:p w:rsidR="006D39BE" w:rsidRDefault="006D39BE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9401E"/>
    <w:rsid w:val="00121D54"/>
    <w:rsid w:val="002331BF"/>
    <w:rsid w:val="002A6578"/>
    <w:rsid w:val="00362976"/>
    <w:rsid w:val="00444592"/>
    <w:rsid w:val="004B056D"/>
    <w:rsid w:val="004B2A2D"/>
    <w:rsid w:val="00535F68"/>
    <w:rsid w:val="005432AF"/>
    <w:rsid w:val="0055015B"/>
    <w:rsid w:val="005847CB"/>
    <w:rsid w:val="00676368"/>
    <w:rsid w:val="006D39BE"/>
    <w:rsid w:val="00820682"/>
    <w:rsid w:val="008471AA"/>
    <w:rsid w:val="0086387F"/>
    <w:rsid w:val="0090651D"/>
    <w:rsid w:val="00A4111E"/>
    <w:rsid w:val="00A55A06"/>
    <w:rsid w:val="00A80936"/>
    <w:rsid w:val="00B356DB"/>
    <w:rsid w:val="00BD20A2"/>
    <w:rsid w:val="00C57E4D"/>
    <w:rsid w:val="00C72318"/>
    <w:rsid w:val="00D179A1"/>
    <w:rsid w:val="00D31528"/>
    <w:rsid w:val="00DE6A6B"/>
    <w:rsid w:val="00E760B4"/>
    <w:rsid w:val="00E902C5"/>
    <w:rsid w:val="00EA3EC2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2020-03-11T02:01:00Z</dcterms:created>
  <dcterms:modified xsi:type="dcterms:W3CDTF">2020-03-11T02:24:00Z</dcterms:modified>
</cp:coreProperties>
</file>