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5E575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E575C">
              <w:rPr>
                <w:rFonts w:ascii="宋体" w:hAnsi="宋体" w:hint="eastAsia"/>
                <w:b/>
                <w:sz w:val="44"/>
                <w:szCs w:val="44"/>
              </w:rPr>
              <w:t>批准延长侦查羁押期限决定书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E575C">
              <w:rPr>
                <w:rFonts w:ascii="楷体_GB2312" w:eastAsia="楷体_GB2312" w:hint="eastAsia"/>
                <w:sz w:val="28"/>
                <w:szCs w:val="28"/>
              </w:rPr>
              <w:t>准</w:t>
            </w:r>
            <w:r w:rsidR="00F56506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2331BF" w:rsidRPr="004B056D" w:rsidRDefault="002331BF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2A2D" w:rsidRPr="004B056D" w:rsidRDefault="005E575C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2331BF" w:rsidRPr="004B056D" w:rsidRDefault="00F5650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批准延长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</w:rPr>
              <w:t>理由</w:t>
            </w:r>
            <w:r w:rsidR="002331BF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2331BF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</w:t>
            </w:r>
          </w:p>
          <w:p w:rsidR="005E575C" w:rsidRPr="004B056D" w:rsidRDefault="005E575C" w:rsidP="005E575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延长期限自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</w:rPr>
              <w:t>起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</w:rPr>
              <w:t>止，共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5E575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E575C">
              <w:rPr>
                <w:rFonts w:ascii="宋体" w:hAnsi="宋体" w:hint="eastAsia"/>
                <w:b/>
                <w:sz w:val="44"/>
                <w:szCs w:val="44"/>
              </w:rPr>
              <w:t>批准延长侦查羁押期限决定书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E575C">
              <w:rPr>
                <w:rFonts w:ascii="楷体_GB2312" w:eastAsia="楷体_GB2312" w:hint="eastAsia"/>
                <w:sz w:val="28"/>
                <w:szCs w:val="28"/>
              </w:rPr>
              <w:t>准</w:t>
            </w:r>
            <w:r w:rsidR="00F56506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F56506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Pr="00F56506" w:rsidRDefault="005E575C" w:rsidP="005E575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5E575C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号文书提请批准延长犯罪嫌疑人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的侦查羁押期限，经审查认为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（延长侦查羁押期限的理由），且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（说明继续羁押必要性的理由、依据），确有羁押的必要，根据《中华人民共和国刑事诉讼法》第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条的规定，批准对犯罪嫌疑人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延长羁押期限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proofErr w:type="gramStart"/>
            <w:r w:rsidRPr="005E575C"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  <w:r w:rsidRPr="005E575C">
              <w:rPr>
                <w:rFonts w:ascii="仿宋_GB2312" w:eastAsia="仿宋_GB2312" w:hint="eastAsia"/>
                <w:sz w:val="32"/>
                <w:szCs w:val="32"/>
              </w:rPr>
              <w:t>月，自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E575C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E575C">
              <w:rPr>
                <w:rFonts w:ascii="宋体" w:hAnsi="宋体" w:hint="eastAsia"/>
                <w:b/>
                <w:sz w:val="44"/>
                <w:szCs w:val="44"/>
              </w:rPr>
              <w:t>批准延长侦查羁押期限决定书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E575C">
              <w:rPr>
                <w:rFonts w:ascii="楷体_GB2312" w:eastAsia="楷体_GB2312" w:hint="eastAsia"/>
                <w:sz w:val="28"/>
                <w:szCs w:val="28"/>
              </w:rPr>
              <w:t>准</w:t>
            </w:r>
            <w:r w:rsidR="00F56506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5E575C" w:rsidRPr="00535F68" w:rsidRDefault="00535F68" w:rsidP="005E575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E575C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35F68" w:rsidRDefault="005E575C" w:rsidP="005E575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5E575C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号文书提请批准延长犯罪嫌疑人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的侦查羁押期限，经审查认为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（延长侦查羁押期限的理由），且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（说明继续羁押必要性的理由、依据），确有羁押的必要，根据《中华人民共和国刑事诉讼法》第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条的规定，批准对犯罪嫌疑人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延长羁押期限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proofErr w:type="gramStart"/>
            <w:r w:rsidRPr="005E575C">
              <w:rPr>
                <w:rFonts w:ascii="仿宋_GB2312" w:eastAsia="仿宋_GB2312" w:hint="eastAsia"/>
                <w:sz w:val="32"/>
                <w:szCs w:val="32"/>
              </w:rPr>
              <w:t>个</w:t>
            </w:r>
            <w:proofErr w:type="gramEnd"/>
            <w:r w:rsidRPr="005E575C">
              <w:rPr>
                <w:rFonts w:ascii="仿宋_GB2312" w:eastAsia="仿宋_GB2312" w:hint="eastAsia"/>
                <w:sz w:val="32"/>
                <w:szCs w:val="32"/>
              </w:rPr>
              <w:t>月，自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送达提请机关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36D49" w:rsidRPr="00036D49" w:rsidRDefault="00036D49" w:rsidP="00036D49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036D49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一、本文书依据《中华人民共和国刑事诉讼法》第一百五十六条、第一百五十八条、第一百五十九条的规定制作。为上级人民检察院批准下级人民检察院或</w:t>
      </w:r>
      <w:proofErr w:type="gramStart"/>
      <w:r w:rsidRPr="00036D49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036D49">
        <w:rPr>
          <w:rFonts w:ascii="仿宋_GB2312" w:eastAsia="仿宋_GB2312" w:cs="仿宋_GB2312" w:hint="eastAsia"/>
          <w:sz w:val="32"/>
          <w:szCs w:val="32"/>
        </w:rPr>
        <w:t>关提请批准延长侦查羁押期限时使用。</w:t>
      </w:r>
    </w:p>
    <w:p w:rsidR="004B056D" w:rsidRDefault="00036D49" w:rsidP="00036D49">
      <w:pPr>
        <w:pStyle w:val="Default"/>
        <w:ind w:firstLineChars="200" w:firstLine="640"/>
      </w:pPr>
      <w:r w:rsidRPr="00036D49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036D4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036D49">
        <w:rPr>
          <w:rFonts w:ascii="仿宋_GB2312" w:eastAsia="仿宋_GB2312" w:cs="仿宋_GB2312" w:hint="eastAsia"/>
          <w:sz w:val="32"/>
          <w:szCs w:val="32"/>
        </w:rPr>
        <w:t>保存备查，第二联附卷，第三联送达提请机关。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5D" w:rsidRDefault="008B0F5D" w:rsidP="00054F05">
      <w:r>
        <w:separator/>
      </w:r>
    </w:p>
  </w:endnote>
  <w:endnote w:type="continuationSeparator" w:id="0">
    <w:p w:rsidR="008B0F5D" w:rsidRDefault="008B0F5D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5D" w:rsidRDefault="008B0F5D" w:rsidP="00054F05">
      <w:r>
        <w:separator/>
      </w:r>
    </w:p>
  </w:footnote>
  <w:footnote w:type="continuationSeparator" w:id="0">
    <w:p w:rsidR="008B0F5D" w:rsidRDefault="008B0F5D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36D49"/>
    <w:rsid w:val="00054F05"/>
    <w:rsid w:val="0008206E"/>
    <w:rsid w:val="0009401E"/>
    <w:rsid w:val="00094F81"/>
    <w:rsid w:val="00121D54"/>
    <w:rsid w:val="002331BF"/>
    <w:rsid w:val="002A6578"/>
    <w:rsid w:val="00300350"/>
    <w:rsid w:val="00362976"/>
    <w:rsid w:val="00444592"/>
    <w:rsid w:val="004B056D"/>
    <w:rsid w:val="004B2A2D"/>
    <w:rsid w:val="00535F68"/>
    <w:rsid w:val="005432AF"/>
    <w:rsid w:val="0055015B"/>
    <w:rsid w:val="005847CB"/>
    <w:rsid w:val="005E575C"/>
    <w:rsid w:val="00676368"/>
    <w:rsid w:val="006D41C2"/>
    <w:rsid w:val="00820682"/>
    <w:rsid w:val="008471AA"/>
    <w:rsid w:val="0086387F"/>
    <w:rsid w:val="008B0F5D"/>
    <w:rsid w:val="0090651D"/>
    <w:rsid w:val="00A4111E"/>
    <w:rsid w:val="00A55A06"/>
    <w:rsid w:val="00A80936"/>
    <w:rsid w:val="00B356DB"/>
    <w:rsid w:val="00B76877"/>
    <w:rsid w:val="00BD20A2"/>
    <w:rsid w:val="00C57E4D"/>
    <w:rsid w:val="00C72318"/>
    <w:rsid w:val="00D179A1"/>
    <w:rsid w:val="00D31528"/>
    <w:rsid w:val="00DE6A6B"/>
    <w:rsid w:val="00E760B4"/>
    <w:rsid w:val="00E902C5"/>
    <w:rsid w:val="00EA3EC2"/>
    <w:rsid w:val="00F56506"/>
    <w:rsid w:val="00F95E46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2020-03-11T02:46:00Z</dcterms:created>
  <dcterms:modified xsi:type="dcterms:W3CDTF">2020-03-11T02:51:00Z</dcterms:modified>
</cp:coreProperties>
</file>