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DB" w:rsidRDefault="00E02BDB" w:rsidP="00E02BDB">
      <w:pPr>
        <w:spacing w:line="276" w:lineRule="auto"/>
        <w:jc w:val="left"/>
        <w:rPr>
          <w:rFonts w:ascii="仿宋_GB2312" w:eastAsia="仿宋_GB2312" w:hAnsi="宋体" w:hint="eastAsia"/>
          <w:sz w:val="32"/>
          <w:szCs w:val="36"/>
        </w:rPr>
      </w:pPr>
      <w:r w:rsidRPr="00E02BDB">
        <w:rPr>
          <w:rFonts w:ascii="仿宋_GB2312" w:eastAsia="仿宋_GB2312" w:hAnsi="宋体" w:hint="eastAsia"/>
          <w:sz w:val="32"/>
          <w:szCs w:val="36"/>
        </w:rPr>
        <w:t>（纠正普遍性倾向性违法问题和社会治理检察建议用）</w:t>
      </w:r>
    </w:p>
    <w:p w:rsidR="00E02BDB" w:rsidRDefault="00E02BDB" w:rsidP="00470A32">
      <w:pPr>
        <w:spacing w:line="276" w:lineRule="auto"/>
        <w:jc w:val="center"/>
        <w:rPr>
          <w:rFonts w:ascii="仿宋_GB2312" w:eastAsia="仿宋_GB2312" w:hAnsi="宋体" w:hint="eastAsia"/>
          <w:sz w:val="32"/>
          <w:szCs w:val="36"/>
        </w:rPr>
      </w:pP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0F6E45" w:rsidP="00A175B2">
      <w:pPr>
        <w:pStyle w:val="Default"/>
        <w:jc w:val="center"/>
        <w:rPr>
          <w:b/>
          <w:sz w:val="44"/>
          <w:szCs w:val="44"/>
        </w:rPr>
      </w:pPr>
      <w:r w:rsidRPr="000F6E45">
        <w:rPr>
          <w:rFonts w:hint="eastAsia"/>
          <w:b/>
          <w:sz w:val="44"/>
          <w:szCs w:val="44"/>
        </w:rPr>
        <w:t>检察建议书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A175B2">
      <w:pPr>
        <w:pStyle w:val="Default"/>
        <w:wordWrap w:val="0"/>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E02BDB">
        <w:rPr>
          <w:rFonts w:ascii="楷体_GB2312" w:eastAsia="楷体_GB2312" w:hint="eastAsia"/>
          <w:sz w:val="28"/>
          <w:szCs w:val="28"/>
        </w:rPr>
        <w:t>建</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一、写明主送单位的全称</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二、案件或者问题的来源</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写明本院在办理案件或者履行法律监督职责中发现该单位存在的问题以及需要提出检察建议的有关情况。</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三、依法认定的案件事实或者经调查核实的事实及其证据</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写明依法认定的案件事实或者经过调查核实后查清的事实及证据。对事实的叙述要求客观、准确、概括性强，要归纳成几条反映问题实质的事实要件，然后加以叙述。</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四、存在的违法情形或者应当消除的隐患</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阐明该单位存在的违法情形或者隐患，包括刑事诉讼活动或者执行活动中存在的普遍性、倾向性违法问题或者其他重大隐患；制度不健全、不落实；存在管理监督漏洞；民间纠纷问题突出；不依法及时履行职责；需要给予有关人员行政处罚、政务处分、</w:t>
      </w:r>
      <w:r w:rsidRPr="00E02BDB">
        <w:rPr>
          <w:rFonts w:ascii="仿宋_GB2312" w:eastAsia="仿宋_GB2312" w:hint="eastAsia"/>
          <w:color w:val="000000"/>
          <w:sz w:val="32"/>
          <w:szCs w:val="32"/>
        </w:rPr>
        <w:lastRenderedPageBreak/>
        <w:t>行业惩戒或者追究司法责任等问题。</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五、建议的具体内容及所依据的法律、法规和有关文件等的规定</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写明建议的具体内容及依据。意见的内容应当具体明确，切实可行，要与以上列举的问题紧密联系。检察建议引用依据有两种情况，一种情况是检察机关提出建议的行为所依据的有关规定，另一种情况是该单位存在的问题不符合哪项法律规定和有关规章制度的规定。</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六、被建议单位提出异议的期限</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告知被建议单位可以提出异议及提出异议的期限。</w:t>
      </w:r>
    </w:p>
    <w:p w:rsidR="00E02BDB" w:rsidRPr="00E02BDB"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七、被建议单位书面回复落实情况的期限</w:t>
      </w:r>
    </w:p>
    <w:p w:rsidR="00776A84" w:rsidRDefault="00E02BDB" w:rsidP="00E02BDB">
      <w:pPr>
        <w:ind w:rightChars="12" w:right="25" w:firstLineChars="200" w:firstLine="640"/>
        <w:rPr>
          <w:rFonts w:ascii="仿宋_GB2312" w:eastAsia="仿宋_GB2312" w:hint="eastAsia"/>
          <w:color w:val="000000"/>
          <w:sz w:val="32"/>
          <w:szCs w:val="32"/>
        </w:rPr>
      </w:pPr>
      <w:r w:rsidRPr="00E02BDB">
        <w:rPr>
          <w:rFonts w:ascii="仿宋_GB2312" w:eastAsia="仿宋_GB2312" w:hint="eastAsia"/>
          <w:color w:val="000000"/>
          <w:sz w:val="32"/>
          <w:szCs w:val="32"/>
        </w:rPr>
        <w:t>八、其他需要说明的事项</w:t>
      </w:r>
    </w:p>
    <w:p w:rsidR="00E02BDB" w:rsidRDefault="00E02BDB" w:rsidP="00E02BDB">
      <w:pPr>
        <w:ind w:rightChars="12" w:right="25" w:firstLineChars="200" w:firstLine="640"/>
        <w:rPr>
          <w:rFonts w:ascii="仿宋_GB2312" w:eastAsia="仿宋_GB2312" w:hint="eastAsia"/>
          <w:color w:val="000000"/>
          <w:sz w:val="32"/>
          <w:szCs w:val="32"/>
        </w:rPr>
      </w:pPr>
    </w:p>
    <w:p w:rsidR="00E02BDB" w:rsidRDefault="00E02BDB" w:rsidP="00E02BDB">
      <w:pPr>
        <w:ind w:rightChars="12" w:right="25" w:firstLineChars="200" w:firstLine="640"/>
        <w:rPr>
          <w:rFonts w:ascii="仿宋_GB2312" w:eastAsia="仿宋_GB2312" w:hint="eastAsia"/>
          <w:color w:val="000000"/>
          <w:sz w:val="32"/>
          <w:szCs w:val="32"/>
        </w:rPr>
      </w:pPr>
    </w:p>
    <w:p w:rsidR="00E02BDB" w:rsidRDefault="00E02BDB" w:rsidP="00E02BDB">
      <w:pPr>
        <w:ind w:rightChars="12" w:right="25" w:firstLineChars="200" w:firstLine="640"/>
        <w:rPr>
          <w:rFonts w:ascii="仿宋_GB2312" w:eastAsia="仿宋_GB2312"/>
          <w:color w:val="000000"/>
          <w:sz w:val="32"/>
          <w:szCs w:val="32"/>
        </w:rPr>
      </w:pPr>
    </w:p>
    <w:p w:rsidR="0064460D" w:rsidRDefault="0064460D" w:rsidP="006446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64460D" w:rsidP="0064460D">
      <w:pPr>
        <w:pStyle w:val="Default"/>
        <w:ind w:leftChars="2300" w:left="4830"/>
        <w:jc w:val="center"/>
        <w:rPr>
          <w:rFonts w:ascii="仿宋_GB2312" w:eastAsia="仿宋_GB2312" w:hAnsi="Times New Roman" w:hint="eastAsia"/>
          <w:sz w:val="32"/>
          <w:szCs w:val="32"/>
        </w:rPr>
      </w:pPr>
      <w:r>
        <w:rPr>
          <w:rFonts w:ascii="仿宋_GB2312" w:eastAsia="仿宋_GB2312" w:hAnsi="Times New Roman" w:hint="eastAsia"/>
          <w:sz w:val="32"/>
          <w:szCs w:val="32"/>
        </w:rPr>
        <w:t>（院印）</w:t>
      </w:r>
    </w:p>
    <w:p w:rsidR="0098323B" w:rsidRDefault="0098323B" w:rsidP="0064460D">
      <w:pPr>
        <w:pStyle w:val="Default"/>
        <w:ind w:leftChars="2300" w:left="4830"/>
        <w:jc w:val="center"/>
        <w:rPr>
          <w:rFonts w:ascii="仿宋_GB2312" w:eastAsia="仿宋_GB2312" w:hAnsi="Times New Roman" w:hint="eastAsia"/>
          <w:sz w:val="32"/>
          <w:szCs w:val="32"/>
        </w:rPr>
      </w:pPr>
    </w:p>
    <w:p w:rsidR="0098323B" w:rsidRDefault="0098323B" w:rsidP="0064460D">
      <w:pPr>
        <w:pStyle w:val="Default"/>
        <w:ind w:leftChars="2300" w:left="4830"/>
        <w:jc w:val="center"/>
        <w:rPr>
          <w:rFonts w:ascii="仿宋_GB2312" w:eastAsia="仿宋_GB2312" w:hAnsi="Times New Roman" w:hint="eastAsia"/>
          <w:sz w:val="32"/>
          <w:szCs w:val="32"/>
        </w:rPr>
      </w:pPr>
    </w:p>
    <w:p w:rsidR="0098323B" w:rsidRDefault="0098323B" w:rsidP="0064460D">
      <w:pPr>
        <w:pStyle w:val="Default"/>
        <w:ind w:leftChars="2300" w:left="4830"/>
        <w:jc w:val="center"/>
        <w:rPr>
          <w:rFonts w:ascii="仿宋_GB2312" w:eastAsia="仿宋_GB2312" w:hAnsi="Times New Roman" w:hint="eastAsia"/>
          <w:sz w:val="32"/>
          <w:szCs w:val="32"/>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E02BDB" w:rsidRPr="00E02BDB" w:rsidRDefault="00E02BDB" w:rsidP="00E02BD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02BDB">
        <w:rPr>
          <w:rFonts w:ascii="仿宋_GB2312" w:eastAsia="仿宋_GB2312" w:hAnsiTheme="minorHAnsi" w:cs="仿宋_GB2312" w:hint="eastAsia"/>
          <w:color w:val="000000"/>
          <w:kern w:val="0"/>
          <w:sz w:val="32"/>
          <w:szCs w:val="32"/>
        </w:rPr>
        <w:t>一、本文书依据《人民检察院刑事诉讼规则》第五百五十一条、第五百五十二条、第六百二十四条、《人民检察院检察建议工作规定》第三条、第九条、第十一条的规定制作。为经检察长批准，人民检察院针对执法、司法机关在刑事诉讼活动或者执行活动中存在的普遍性、倾向性违法问题或者其他重大隐患，以及有关单位社会治理工作中存在的问题提出检察建议时使用。</w:t>
      </w:r>
    </w:p>
    <w:p w:rsidR="00E02BDB" w:rsidRPr="00E02BDB" w:rsidRDefault="00E02BDB" w:rsidP="00E02BD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02BDB">
        <w:rPr>
          <w:rFonts w:ascii="仿宋_GB2312" w:eastAsia="仿宋_GB2312" w:hAnsiTheme="minorHAnsi" w:cs="仿宋_GB2312" w:hint="eastAsia"/>
          <w:color w:val="000000"/>
          <w:kern w:val="0"/>
          <w:sz w:val="32"/>
          <w:szCs w:val="32"/>
        </w:rPr>
        <w:t>二、人民检察院可以直接向本院所办理案件的涉案单位、本级有关主管机关以及其他有关单位提出检察建议。</w:t>
      </w:r>
    </w:p>
    <w:p w:rsidR="00E02BDB" w:rsidRPr="00E02BDB" w:rsidRDefault="00E02BDB" w:rsidP="00E02BD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02BDB">
        <w:rPr>
          <w:rFonts w:ascii="仿宋_GB2312" w:eastAsia="仿宋_GB2312" w:hAnsiTheme="minorHAnsi" w:cs="仿宋_GB2312" w:hint="eastAsia"/>
          <w:color w:val="000000"/>
          <w:kern w:val="0"/>
          <w:sz w:val="32"/>
          <w:szCs w:val="32"/>
        </w:rPr>
        <w:t>需要向涉案单位以外的上级有关主管机关提出检察建议的，应当层报被建议单位的同级人民检察院决定并提出检察建议，或者由办理案件的人民检察院制作检察建议书后，报被建议单位的同级人民检察院审核并转送被建议单位。</w:t>
      </w:r>
    </w:p>
    <w:p w:rsidR="00E02BDB" w:rsidRPr="00E02BDB" w:rsidRDefault="00E02BDB" w:rsidP="00E02BD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02BDB">
        <w:rPr>
          <w:rFonts w:ascii="仿宋_GB2312" w:eastAsia="仿宋_GB2312" w:hAnsiTheme="minorHAnsi" w:cs="仿宋_GB2312" w:hint="eastAsia"/>
          <w:color w:val="000000"/>
          <w:kern w:val="0"/>
          <w:sz w:val="32"/>
          <w:szCs w:val="32"/>
        </w:rPr>
        <w:t>需要向下级有关单位提出检察建议的，应当指令对应的下级人民检察院提出检察建议。</w:t>
      </w:r>
    </w:p>
    <w:p w:rsidR="00E02BDB" w:rsidRPr="00E02BDB" w:rsidRDefault="00E02BDB" w:rsidP="00E02BD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02BDB">
        <w:rPr>
          <w:rFonts w:ascii="仿宋_GB2312" w:eastAsia="仿宋_GB2312" w:hAnsiTheme="minorHAnsi" w:cs="仿宋_GB2312" w:hint="eastAsia"/>
          <w:color w:val="000000"/>
          <w:kern w:val="0"/>
          <w:sz w:val="32"/>
          <w:szCs w:val="32"/>
        </w:rPr>
        <w:t>需要向异地有关单位提出检察建议的，应当征求被建议单位所在地同级人民检察院意见。被建议单位所在地同级人民检察院提出不同意见，办理案件的人民检察院坚持认为应当提出检察建议的，层报共同的上级人民检察院决定。</w:t>
      </w:r>
    </w:p>
    <w:p w:rsidR="00E02BDB" w:rsidRPr="00E02BDB" w:rsidRDefault="00E02BDB" w:rsidP="00E02BD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02BDB">
        <w:rPr>
          <w:rFonts w:ascii="仿宋_GB2312" w:eastAsia="仿宋_GB2312" w:hAnsiTheme="minorHAnsi" w:cs="仿宋_GB2312" w:hint="eastAsia"/>
          <w:color w:val="000000"/>
          <w:kern w:val="0"/>
          <w:sz w:val="32"/>
          <w:szCs w:val="32"/>
        </w:rPr>
        <w:lastRenderedPageBreak/>
        <w:t>三、本文书一式三份，一份附卷，一份发送被建议单位，一</w:t>
      </w:r>
      <w:bookmarkStart w:id="1" w:name="_GoBack"/>
      <w:bookmarkEnd w:id="1"/>
      <w:r w:rsidRPr="00E02BDB">
        <w:rPr>
          <w:rFonts w:ascii="仿宋_GB2312" w:eastAsia="仿宋_GB2312" w:hAnsiTheme="minorHAnsi" w:cs="仿宋_GB2312" w:hint="eastAsia"/>
          <w:color w:val="000000"/>
          <w:kern w:val="0"/>
          <w:sz w:val="32"/>
          <w:szCs w:val="32"/>
        </w:rPr>
        <w:t>份报送上一级人民检察院备案，并可根据抄送对象增加印制份数。</w:t>
      </w:r>
    </w:p>
    <w:p w:rsidR="004B056D" w:rsidRDefault="00E02BDB" w:rsidP="00E02BDB">
      <w:pPr>
        <w:autoSpaceDE w:val="0"/>
        <w:autoSpaceDN w:val="0"/>
        <w:adjustRightInd w:val="0"/>
        <w:ind w:firstLineChars="200" w:firstLine="640"/>
        <w:jc w:val="left"/>
      </w:pPr>
      <w:r w:rsidRPr="00E02BDB">
        <w:rPr>
          <w:rFonts w:ascii="仿宋_GB2312" w:eastAsia="仿宋_GB2312" w:hAnsiTheme="minorHAnsi" w:cs="仿宋_GB2312" w:hint="eastAsia"/>
          <w:color w:val="000000"/>
          <w:kern w:val="0"/>
          <w:sz w:val="32"/>
          <w:szCs w:val="32"/>
        </w:rPr>
        <w:t>四、本文书加盖人民检察院印章。</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C0" w:rsidRDefault="00EF35C0" w:rsidP="0040527A">
      <w:r>
        <w:separator/>
      </w:r>
    </w:p>
  </w:endnote>
  <w:endnote w:type="continuationSeparator" w:id="0">
    <w:p w:rsidR="00EF35C0" w:rsidRDefault="00EF35C0"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C0" w:rsidRDefault="00EF35C0" w:rsidP="0040527A">
      <w:r>
        <w:separator/>
      </w:r>
    </w:p>
  </w:footnote>
  <w:footnote w:type="continuationSeparator" w:id="0">
    <w:p w:rsidR="00EF35C0" w:rsidRDefault="00EF35C0"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332A"/>
    <w:rsid w:val="000A4A4E"/>
    <w:rsid w:val="000C19B0"/>
    <w:rsid w:val="000C59E0"/>
    <w:rsid w:val="000E1642"/>
    <w:rsid w:val="000F340A"/>
    <w:rsid w:val="000F6E45"/>
    <w:rsid w:val="00107717"/>
    <w:rsid w:val="00126C3B"/>
    <w:rsid w:val="00133C3F"/>
    <w:rsid w:val="00182623"/>
    <w:rsid w:val="00183CC1"/>
    <w:rsid w:val="001A3CA5"/>
    <w:rsid w:val="001A5203"/>
    <w:rsid w:val="002164C6"/>
    <w:rsid w:val="00232377"/>
    <w:rsid w:val="00256BBD"/>
    <w:rsid w:val="00262D78"/>
    <w:rsid w:val="00270E05"/>
    <w:rsid w:val="0028114B"/>
    <w:rsid w:val="002A21BB"/>
    <w:rsid w:val="002F1957"/>
    <w:rsid w:val="003038EC"/>
    <w:rsid w:val="00364ACC"/>
    <w:rsid w:val="003D5786"/>
    <w:rsid w:val="003E69B0"/>
    <w:rsid w:val="003F7DA8"/>
    <w:rsid w:val="0040067E"/>
    <w:rsid w:val="00401925"/>
    <w:rsid w:val="00402E88"/>
    <w:rsid w:val="0040527A"/>
    <w:rsid w:val="0041473A"/>
    <w:rsid w:val="00430A0E"/>
    <w:rsid w:val="00470A32"/>
    <w:rsid w:val="00487725"/>
    <w:rsid w:val="004A6525"/>
    <w:rsid w:val="004B056D"/>
    <w:rsid w:val="004B6AA4"/>
    <w:rsid w:val="004D7295"/>
    <w:rsid w:val="00514EEC"/>
    <w:rsid w:val="00517549"/>
    <w:rsid w:val="00517F4A"/>
    <w:rsid w:val="005307C4"/>
    <w:rsid w:val="00535F68"/>
    <w:rsid w:val="005432AF"/>
    <w:rsid w:val="005675FA"/>
    <w:rsid w:val="00586796"/>
    <w:rsid w:val="005917BA"/>
    <w:rsid w:val="005B1103"/>
    <w:rsid w:val="005E58C4"/>
    <w:rsid w:val="0064460D"/>
    <w:rsid w:val="0068721A"/>
    <w:rsid w:val="006C4B10"/>
    <w:rsid w:val="006D4631"/>
    <w:rsid w:val="00711999"/>
    <w:rsid w:val="007305FE"/>
    <w:rsid w:val="007375E0"/>
    <w:rsid w:val="00753F5C"/>
    <w:rsid w:val="007621F8"/>
    <w:rsid w:val="00776A84"/>
    <w:rsid w:val="007A216E"/>
    <w:rsid w:val="007B2138"/>
    <w:rsid w:val="0081307A"/>
    <w:rsid w:val="00820B0E"/>
    <w:rsid w:val="0084462C"/>
    <w:rsid w:val="008630E7"/>
    <w:rsid w:val="00866A2D"/>
    <w:rsid w:val="00893D49"/>
    <w:rsid w:val="008F1172"/>
    <w:rsid w:val="00903BE7"/>
    <w:rsid w:val="0092512A"/>
    <w:rsid w:val="0098323B"/>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E0AD7"/>
    <w:rsid w:val="00B81D56"/>
    <w:rsid w:val="00B929E2"/>
    <w:rsid w:val="00BA76C1"/>
    <w:rsid w:val="00BB039C"/>
    <w:rsid w:val="00BD20A2"/>
    <w:rsid w:val="00BD371B"/>
    <w:rsid w:val="00BD58A2"/>
    <w:rsid w:val="00BF2A6B"/>
    <w:rsid w:val="00C05BFB"/>
    <w:rsid w:val="00C05F82"/>
    <w:rsid w:val="00C061B7"/>
    <w:rsid w:val="00C07069"/>
    <w:rsid w:val="00C1090D"/>
    <w:rsid w:val="00C17FE7"/>
    <w:rsid w:val="00C77B80"/>
    <w:rsid w:val="00C83D00"/>
    <w:rsid w:val="00C9090A"/>
    <w:rsid w:val="00CA2806"/>
    <w:rsid w:val="00D10876"/>
    <w:rsid w:val="00D27290"/>
    <w:rsid w:val="00D35410"/>
    <w:rsid w:val="00D46B9F"/>
    <w:rsid w:val="00D606DA"/>
    <w:rsid w:val="00D73D7B"/>
    <w:rsid w:val="00D832C5"/>
    <w:rsid w:val="00D9791D"/>
    <w:rsid w:val="00DC526D"/>
    <w:rsid w:val="00DE2BC5"/>
    <w:rsid w:val="00E02BDB"/>
    <w:rsid w:val="00E208FB"/>
    <w:rsid w:val="00E22665"/>
    <w:rsid w:val="00E33864"/>
    <w:rsid w:val="00E35FB9"/>
    <w:rsid w:val="00E50A93"/>
    <w:rsid w:val="00E61F2F"/>
    <w:rsid w:val="00E85A19"/>
    <w:rsid w:val="00E902C5"/>
    <w:rsid w:val="00EC0B3B"/>
    <w:rsid w:val="00EF35C0"/>
    <w:rsid w:val="00F66E0E"/>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559</Words>
  <Characters>587</Characters>
  <Application>Microsoft Office Word</Application>
  <DocSecurity>0</DocSecurity>
  <Lines>195</Lines>
  <Paragraphs>190</Paragraphs>
  <ScaleCrop>false</ScaleCrop>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2020-03-19T05:15:00Z</dcterms:created>
  <dcterms:modified xsi:type="dcterms:W3CDTF">2020-03-19T05:17:00Z</dcterms:modified>
</cp:coreProperties>
</file>